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AB4" w:rsidRDefault="00A90AB4">
      <w:pPr>
        <w:pStyle w:val="WW-Standard"/>
        <w:spacing w:after="57"/>
        <w:jc w:val="center"/>
        <w:rPr>
          <w:rFonts w:ascii="Verdana" w:hAnsi="Verdana" w:cs="Verdana"/>
          <w:b/>
          <w:bCs/>
          <w:color w:val="17365D"/>
          <w:sz w:val="28"/>
          <w:szCs w:val="28"/>
        </w:rPr>
      </w:pPr>
      <w:r>
        <w:rPr>
          <w:rFonts w:ascii="Verdana" w:hAnsi="Verdana" w:cs="Verdana"/>
          <w:b/>
          <w:bCs/>
          <w:color w:val="17365D"/>
          <w:sz w:val="28"/>
          <w:szCs w:val="28"/>
        </w:rPr>
        <w:t>FICHE 4.2.4</w:t>
      </w:r>
      <w:r w:rsidR="00A426B7">
        <w:rPr>
          <w:rFonts w:ascii="Verdana" w:hAnsi="Verdana" w:cs="Verdana"/>
          <w:b/>
          <w:bCs/>
          <w:color w:val="17365D"/>
          <w:sz w:val="28"/>
          <w:szCs w:val="28"/>
        </w:rPr>
        <w:t xml:space="preserve"> </w:t>
      </w:r>
      <w:r w:rsidR="00A426B7" w:rsidRPr="00617FC3">
        <w:rPr>
          <w:rFonts w:ascii="Verdana" w:hAnsi="Verdana" w:cs="Verdana"/>
          <w:b/>
          <w:bCs/>
          <w:i/>
          <w:color w:val="17365D" w:themeColor="text2" w:themeShade="BF"/>
          <w:sz w:val="16"/>
          <w:szCs w:val="16"/>
        </w:rPr>
        <w:t>(version 2017</w:t>
      </w:r>
      <w:r w:rsidR="00A426B7">
        <w:rPr>
          <w:rFonts w:ascii="Verdana" w:hAnsi="Verdana" w:cs="Verdana"/>
          <w:b/>
          <w:bCs/>
          <w:i/>
          <w:color w:val="17365D" w:themeColor="text2" w:themeShade="BF"/>
          <w:sz w:val="16"/>
          <w:szCs w:val="16"/>
        </w:rPr>
        <w:t>)</w:t>
      </w:r>
    </w:p>
    <w:p w:rsidR="00A90AB4" w:rsidRDefault="00A90AB4">
      <w:pPr>
        <w:pStyle w:val="WW-Standard"/>
        <w:shd w:val="clear" w:color="auto" w:fill="1F497D"/>
        <w:spacing w:after="57"/>
        <w:jc w:val="center"/>
        <w:rPr>
          <w:rFonts w:ascii="Verdana" w:hAnsi="Verdana" w:cs="Verdana"/>
          <w:b/>
          <w:bCs/>
          <w:color w:val="FFFFFF"/>
          <w:sz w:val="28"/>
          <w:szCs w:val="28"/>
        </w:rPr>
      </w:pPr>
      <w:r>
        <w:rPr>
          <w:rFonts w:ascii="Verdana" w:hAnsi="Verdana" w:cs="Verdana"/>
          <w:b/>
          <w:bCs/>
          <w:color w:val="FFFFFF"/>
          <w:sz w:val="28"/>
          <w:szCs w:val="28"/>
        </w:rPr>
        <w:t>Lutter contre l'incivilité et le sentiment d'insécurité</w:t>
      </w:r>
    </w:p>
    <w:p w:rsidR="00A90AB4" w:rsidRDefault="00A90AB4">
      <w:pPr>
        <w:pStyle w:val="WW-Standard"/>
        <w:spacing w:after="57"/>
        <w:jc w:val="center"/>
        <w:rPr>
          <w:rFonts w:ascii="Verdana" w:hAnsi="Verdana" w:cs="Verdana"/>
          <w:b/>
          <w:bCs/>
          <w:sz w:val="20"/>
          <w:szCs w:val="20"/>
        </w:rPr>
      </w:pPr>
    </w:p>
    <w:tbl>
      <w:tblPr>
        <w:tblW w:w="10675" w:type="dxa"/>
        <w:tblInd w:w="10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3" w:type="dxa"/>
        </w:tblCellMar>
        <w:tblLook w:val="00A0"/>
      </w:tblPr>
      <w:tblGrid>
        <w:gridCol w:w="3969"/>
        <w:gridCol w:w="6706"/>
      </w:tblGrid>
      <w:tr w:rsidR="00A90AB4" w:rsidTr="003C27A5">
        <w:trPr>
          <w:trHeight w:val="754"/>
        </w:trPr>
        <w:tc>
          <w:tcPr>
            <w:tcW w:w="3969" w:type="dxa"/>
            <w:shd w:val="clear" w:color="auto" w:fill="B8CCE4"/>
            <w:tcMar>
              <w:left w:w="103" w:type="dxa"/>
            </w:tcMar>
            <w:vAlign w:val="center"/>
          </w:tcPr>
          <w:p w:rsidR="00A90AB4" w:rsidRDefault="00A90AB4">
            <w:pPr>
              <w:pStyle w:val="Contenudetableau"/>
              <w:rPr>
                <w:rFonts w:ascii="Verdana" w:hAnsi="Verdana" w:cs="Verdana"/>
                <w:b/>
                <w:bCs/>
                <w:color w:val="1F497D"/>
                <w:sz w:val="20"/>
                <w:szCs w:val="20"/>
              </w:rPr>
            </w:pPr>
            <w:r>
              <w:rPr>
                <w:rFonts w:ascii="Verdana" w:hAnsi="Verdana" w:cs="Verdana"/>
                <w:b/>
                <w:bCs/>
                <w:color w:val="1F497D"/>
                <w:sz w:val="20"/>
                <w:szCs w:val="20"/>
              </w:rPr>
              <w:t>Pilier 4 Valeur</w:t>
            </w:r>
            <w:r w:rsidR="00EB03CF">
              <w:rPr>
                <w:rFonts w:ascii="Verdana" w:hAnsi="Verdana" w:cs="Verdana"/>
                <w:b/>
                <w:bCs/>
                <w:color w:val="1F497D"/>
                <w:sz w:val="20"/>
                <w:szCs w:val="20"/>
              </w:rPr>
              <w:t>s</w:t>
            </w:r>
            <w:r>
              <w:rPr>
                <w:rFonts w:ascii="Verdana" w:hAnsi="Verdana" w:cs="Verdana"/>
                <w:b/>
                <w:bCs/>
                <w:color w:val="1F497D"/>
                <w:sz w:val="20"/>
                <w:szCs w:val="20"/>
              </w:rPr>
              <w:t xml:space="preserve"> de la République</w:t>
            </w:r>
          </w:p>
          <w:p w:rsidR="00A90AB4" w:rsidRDefault="00A90AB4">
            <w:pPr>
              <w:pStyle w:val="Contenudetableau"/>
              <w:rPr>
                <w:rFonts w:ascii="Verdana" w:hAnsi="Verdana" w:cs="Verdana"/>
                <w:b/>
                <w:bCs/>
                <w:color w:val="1F497D"/>
                <w:sz w:val="20"/>
                <w:szCs w:val="20"/>
              </w:rPr>
            </w:pPr>
            <w:r>
              <w:rPr>
                <w:rFonts w:ascii="Verdana" w:hAnsi="Verdana" w:cs="Verdana"/>
                <w:b/>
                <w:bCs/>
                <w:color w:val="1F497D"/>
                <w:sz w:val="20"/>
                <w:szCs w:val="20"/>
              </w:rPr>
              <w:t xml:space="preserve">Axe 2 </w:t>
            </w:r>
            <w:r w:rsidR="003C27A5" w:rsidRPr="00627632">
              <w:rPr>
                <w:rFonts w:ascii="Verdana" w:hAnsi="Verdana" w:cs="Verdana"/>
                <w:b/>
                <w:bCs/>
                <w:color w:val="1F497D"/>
                <w:sz w:val="20"/>
                <w:szCs w:val="20"/>
              </w:rPr>
              <w:t>Lutter contre l'insécurité et promouvoir le respect du droit</w:t>
            </w:r>
          </w:p>
        </w:tc>
        <w:tc>
          <w:tcPr>
            <w:tcW w:w="6706" w:type="dxa"/>
            <w:shd w:val="clear" w:color="auto" w:fill="B8CCE4"/>
            <w:tcMar>
              <w:left w:w="103" w:type="dxa"/>
            </w:tcMar>
            <w:vAlign w:val="center"/>
          </w:tcPr>
          <w:p w:rsidR="00A90AB4" w:rsidRDefault="00EE6332" w:rsidP="00EE6332">
            <w:pPr>
              <w:pStyle w:val="Contenudetableau"/>
              <w:rPr>
                <w:rFonts w:ascii="Verdana" w:hAnsi="Verdana" w:cs="Verdana"/>
                <w:b/>
                <w:bCs/>
                <w:color w:val="1F497D"/>
                <w:sz w:val="20"/>
                <w:szCs w:val="20"/>
              </w:rPr>
            </w:pPr>
            <w:r>
              <w:rPr>
                <w:rFonts w:ascii="Verdana" w:hAnsi="Verdana" w:cs="Verdana"/>
                <w:b/>
                <w:bCs/>
                <w:color w:val="1F497D"/>
                <w:sz w:val="20"/>
                <w:szCs w:val="20"/>
              </w:rPr>
              <w:t xml:space="preserve">Enjeu : rassurer les habitants, </w:t>
            </w:r>
            <w:r w:rsidR="00A90AB4">
              <w:rPr>
                <w:rFonts w:ascii="Verdana" w:hAnsi="Verdana" w:cs="Verdana"/>
                <w:b/>
                <w:bCs/>
                <w:color w:val="1F497D"/>
                <w:sz w:val="20"/>
                <w:szCs w:val="20"/>
              </w:rPr>
              <w:t xml:space="preserve">leur offrir un cadre de vie serein </w:t>
            </w:r>
            <w:r w:rsidR="00A90AB4" w:rsidRPr="00A426B7">
              <w:rPr>
                <w:rFonts w:ascii="Verdana" w:hAnsi="Verdana" w:cs="Verdana"/>
                <w:b/>
                <w:bCs/>
                <w:color w:val="1F497D"/>
                <w:sz w:val="20"/>
                <w:szCs w:val="20"/>
              </w:rPr>
              <w:t>et sécurisant</w:t>
            </w:r>
            <w:r>
              <w:rPr>
                <w:rFonts w:ascii="Verdana" w:hAnsi="Verdana" w:cs="Verdana"/>
                <w:b/>
                <w:bCs/>
                <w:color w:val="1F497D"/>
                <w:sz w:val="20"/>
                <w:szCs w:val="20"/>
              </w:rPr>
              <w:t xml:space="preserve">, et </w:t>
            </w:r>
            <w:r w:rsidRPr="00EE6332">
              <w:rPr>
                <w:rFonts w:ascii="Verdana" w:hAnsi="Verdana" w:cs="Verdana"/>
                <w:b/>
                <w:bCs/>
                <w:color w:val="1F497D"/>
                <w:sz w:val="20"/>
                <w:szCs w:val="20"/>
              </w:rPr>
              <w:t>encourager au respect de son cadre de vie</w:t>
            </w:r>
          </w:p>
        </w:tc>
      </w:tr>
    </w:tbl>
    <w:p w:rsidR="00A90AB4" w:rsidRDefault="00A90AB4">
      <w:pPr>
        <w:pStyle w:val="WW-Standard"/>
        <w:spacing w:after="57"/>
        <w:rPr>
          <w:rFonts w:ascii="Verdana" w:hAnsi="Verdana" w:cs="Verdana"/>
          <w:b/>
          <w:bCs/>
          <w:color w:val="1F497D"/>
          <w:sz w:val="20"/>
          <w:szCs w:val="20"/>
        </w:rPr>
      </w:pPr>
    </w:p>
    <w:tbl>
      <w:tblPr>
        <w:tblW w:w="10854" w:type="dxa"/>
        <w:tblInd w:w="-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5" w:type="dxa"/>
          <w:right w:w="10" w:type="dxa"/>
        </w:tblCellMar>
        <w:tblLook w:val="00A0"/>
      </w:tblPr>
      <w:tblGrid>
        <w:gridCol w:w="2987"/>
        <w:gridCol w:w="7867"/>
      </w:tblGrid>
      <w:tr w:rsidR="00A90AB4" w:rsidTr="003C27A5">
        <w:trPr>
          <w:trHeight w:val="150"/>
        </w:trPr>
        <w:tc>
          <w:tcPr>
            <w:tcW w:w="2987" w:type="dxa"/>
            <w:shd w:val="clear" w:color="auto" w:fill="B8CCE4"/>
            <w:tcMar>
              <w:left w:w="5" w:type="dxa"/>
            </w:tcMar>
          </w:tcPr>
          <w:p w:rsidR="00A90AB4" w:rsidRDefault="00A90AB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 xml:space="preserve">Contexte </w:t>
            </w:r>
          </w:p>
        </w:tc>
        <w:tc>
          <w:tcPr>
            <w:tcW w:w="7867" w:type="dxa"/>
            <w:shd w:val="clear" w:color="auto" w:fill="B8CCE4"/>
            <w:tcMar>
              <w:left w:w="5" w:type="dxa"/>
            </w:tcMar>
          </w:tcPr>
          <w:p w:rsidR="00A90AB4" w:rsidRDefault="00A90AB4">
            <w:pPr>
              <w:pStyle w:val="Contenudetableau"/>
              <w:numPr>
                <w:ilvl w:val="0"/>
                <w:numId w:val="1"/>
              </w:numPr>
              <w:spacing w:before="120" w:after="120"/>
              <w:ind w:right="131"/>
              <w:jc w:val="both"/>
            </w:pPr>
            <w:r>
              <w:t xml:space="preserve">Voitures brulées, bagarres de bandes rivales, trafics de drogue, occupations de halls d’immeuble,… Des actes plus ou moins isolés, commis le plus souvent par une minorité d’individus, mais qui pèsent lourd dans la perception des citoyens quant à leur cadre de leur vie. </w:t>
            </w:r>
          </w:p>
          <w:p w:rsidR="00A90AB4" w:rsidRDefault="00A90AB4">
            <w:pPr>
              <w:pStyle w:val="Contenudetableau"/>
              <w:numPr>
                <w:ilvl w:val="0"/>
                <w:numId w:val="1"/>
              </w:numPr>
              <w:spacing w:before="120" w:after="120"/>
              <w:ind w:right="131"/>
              <w:jc w:val="both"/>
            </w:pPr>
            <w:r>
              <w:t xml:space="preserve">Les quartiers de la politique de la ville ne concentrent pas tous les  délits commis dans la Métropole (notamment vols et agressions,…). Pour autant, criminalité, délinquance et surtout incivilité ont une résonnance particulière dans des quartiers où des citoyens ressentent déjà pour certains </w:t>
            </w:r>
            <w:r w:rsidR="00A426B7">
              <w:t>une forme de relégation au sein</w:t>
            </w:r>
            <w:r>
              <w:t xml:space="preserve"> de la République.</w:t>
            </w:r>
          </w:p>
          <w:p w:rsidR="00A90AB4" w:rsidRDefault="00A90AB4">
            <w:pPr>
              <w:pStyle w:val="Contenudetableau"/>
              <w:numPr>
                <w:ilvl w:val="0"/>
                <w:numId w:val="1"/>
              </w:numPr>
              <w:spacing w:before="120" w:after="120"/>
              <w:ind w:right="131"/>
              <w:jc w:val="both"/>
            </w:pPr>
            <w:r>
              <w:t>Le sentiment d'insécurité est quelque chose d'assez difficile à définir de manière tangible, tout comme les incivilités, car il peut recouvrir un large spectre. C'est un phénomène insaisissable et variable en fonction de différents facteurs : l'âge, l'expérience personnelle d'un individu (ou de ses proches), les lieux,… Le sentiment d'i</w:t>
            </w:r>
            <w:r w:rsidR="00EA05A2">
              <w:t xml:space="preserve">nsécurité est en fait lié à la perception de manque sur des </w:t>
            </w:r>
            <w:r>
              <w:t>éléments assez ordinaires : l'éclairage, la présence humaine, le bon entretien des lieux, l'interconnaissance entre les gens (on se sent mieux dans un quartier où il y a de la vie, où les gens se connaissent et échangent)</w:t>
            </w:r>
            <w:r>
              <w:rPr>
                <w:rStyle w:val="Ancredenotedebasdepage"/>
              </w:rPr>
              <w:footnoteReference w:id="1"/>
            </w:r>
            <w:r>
              <w:t>.</w:t>
            </w:r>
          </w:p>
          <w:p w:rsidR="00A90AB4" w:rsidRDefault="00A90AB4">
            <w:pPr>
              <w:pStyle w:val="Contenudetableau"/>
              <w:numPr>
                <w:ilvl w:val="0"/>
                <w:numId w:val="1"/>
              </w:numPr>
              <w:spacing w:before="120" w:after="120"/>
              <w:ind w:right="131"/>
              <w:jc w:val="both"/>
            </w:pPr>
            <w:r>
              <w:t xml:space="preserve">Dans ce cadre, le « harcèlement de rue » (définis comme l’ensemble des comportements adressés aux personnes dans les espaces publics et semi-publics, visant à les interpeler verbalement ou non, leur envoyant des messages intimidants, insistants, irrespectueux, humiliants, menaçants, insultants en raison de leur sexe, de leur genre, de leur orientation sexuelle,…) constitue une source significative d’incivilité. </w:t>
            </w:r>
          </w:p>
        </w:tc>
      </w:tr>
      <w:tr w:rsidR="00A90AB4" w:rsidTr="003C27A5">
        <w:trPr>
          <w:trHeight w:val="142"/>
        </w:trPr>
        <w:tc>
          <w:tcPr>
            <w:tcW w:w="2987" w:type="dxa"/>
            <w:shd w:val="clear" w:color="auto" w:fill="B8CCE4"/>
            <w:tcMar>
              <w:left w:w="5" w:type="dxa"/>
            </w:tcMar>
          </w:tcPr>
          <w:p w:rsidR="00A90AB4" w:rsidRDefault="00A90AB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Objectifs et dynamiques</w:t>
            </w:r>
          </w:p>
        </w:tc>
        <w:tc>
          <w:tcPr>
            <w:tcW w:w="7867" w:type="dxa"/>
            <w:shd w:val="clear" w:color="auto" w:fill="B8CCE4"/>
            <w:tcMar>
              <w:left w:w="5" w:type="dxa"/>
            </w:tcMar>
          </w:tcPr>
          <w:p w:rsidR="00A90AB4" w:rsidRDefault="00A90AB4">
            <w:pPr>
              <w:pStyle w:val="Contenudetableau"/>
              <w:numPr>
                <w:ilvl w:val="0"/>
                <w:numId w:val="1"/>
              </w:numPr>
              <w:spacing w:before="120" w:after="120"/>
            </w:pPr>
            <w:r>
              <w:t>Mettre en œuvre des modes de régulation des incivilités, agir sur les éléments générateurs d’un sentiment d’insécurité.</w:t>
            </w:r>
          </w:p>
          <w:p w:rsidR="00F66A6B" w:rsidRPr="00A426B7" w:rsidRDefault="00F66A6B">
            <w:pPr>
              <w:pStyle w:val="Contenudetableau"/>
              <w:numPr>
                <w:ilvl w:val="0"/>
                <w:numId w:val="1"/>
              </w:numPr>
              <w:spacing w:before="120" w:after="120"/>
            </w:pPr>
            <w:r w:rsidRPr="00A426B7">
              <w:t>Lutter contre les incivilités et la violence dans le sport</w:t>
            </w:r>
          </w:p>
        </w:tc>
      </w:tr>
      <w:tr w:rsidR="00A90AB4" w:rsidTr="003C27A5">
        <w:trPr>
          <w:trHeight w:val="170"/>
        </w:trPr>
        <w:tc>
          <w:tcPr>
            <w:tcW w:w="2987" w:type="dxa"/>
            <w:shd w:val="clear" w:color="auto" w:fill="B8CCE4"/>
            <w:tcMar>
              <w:left w:w="5" w:type="dxa"/>
            </w:tcMar>
          </w:tcPr>
          <w:p w:rsidR="00A90AB4" w:rsidRDefault="00A90AB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 xml:space="preserve">Réalisations attendues </w:t>
            </w:r>
          </w:p>
        </w:tc>
        <w:tc>
          <w:tcPr>
            <w:tcW w:w="7867" w:type="dxa"/>
            <w:shd w:val="clear" w:color="auto" w:fill="B8CCE4"/>
            <w:tcMar>
              <w:left w:w="5" w:type="dxa"/>
            </w:tcMar>
          </w:tcPr>
          <w:p w:rsidR="00A90AB4" w:rsidRDefault="00A90AB4" w:rsidP="00EE6332">
            <w:pPr>
              <w:pStyle w:val="Contenudetableau"/>
              <w:numPr>
                <w:ilvl w:val="0"/>
                <w:numId w:val="1"/>
              </w:numPr>
              <w:spacing w:before="120" w:after="120"/>
            </w:pPr>
            <w:r>
              <w:t>Réalisation de diagnostics partagés avec les habitants sur les questions de l’insécurité et des incivilités</w:t>
            </w:r>
            <w:r w:rsidR="00EE6332">
              <w:t xml:space="preserve">. </w:t>
            </w:r>
            <w:r w:rsidR="00EA05A2">
              <w:t xml:space="preserve">Des outils comme les enquêtes de </w:t>
            </w:r>
            <w:proofErr w:type="spellStart"/>
            <w:r w:rsidR="00EA05A2">
              <w:t>victimation</w:t>
            </w:r>
            <w:proofErr w:type="spellEnd"/>
            <w:r w:rsidR="00EA05A2">
              <w:t xml:space="preserve"> ou outil d’analyse des causes pourront être mis en place</w:t>
            </w:r>
          </w:p>
          <w:p w:rsidR="00A90AB4" w:rsidRDefault="00A426B7">
            <w:pPr>
              <w:pStyle w:val="Contenudetableau"/>
              <w:numPr>
                <w:ilvl w:val="0"/>
                <w:numId w:val="1"/>
              </w:numPr>
              <w:spacing w:before="120" w:after="120"/>
            </w:pPr>
            <w:r>
              <w:t>Mettre en œuvre dans les quartiers le plan d'actions départemental sur le harcèlement de rue</w:t>
            </w:r>
          </w:p>
          <w:p w:rsidR="00A90AB4" w:rsidRDefault="00A90AB4">
            <w:pPr>
              <w:pStyle w:val="Contenudetableau"/>
              <w:numPr>
                <w:ilvl w:val="0"/>
                <w:numId w:val="1"/>
              </w:numPr>
              <w:spacing w:before="120" w:after="120"/>
            </w:pPr>
            <w:r>
              <w:t>Soutenir et développer le travail de médiation sociale quotidienne dans les quartiers (en lien avec la GUP)</w:t>
            </w:r>
          </w:p>
          <w:p w:rsidR="00EA05A2" w:rsidRDefault="00EA05A2">
            <w:pPr>
              <w:pStyle w:val="Contenudetableau"/>
              <w:numPr>
                <w:ilvl w:val="0"/>
                <w:numId w:val="1"/>
              </w:numPr>
              <w:spacing w:before="120" w:after="120"/>
            </w:pPr>
            <w:r>
              <w:t>Développer le lien avec les CLSPD et les actions de prévention situationnelle</w:t>
            </w:r>
            <w:bookmarkStart w:id="0" w:name="_GoBack"/>
            <w:bookmarkEnd w:id="0"/>
          </w:p>
          <w:p w:rsidR="00EA05A2" w:rsidRDefault="00BD6876">
            <w:pPr>
              <w:pStyle w:val="Contenudetableau"/>
              <w:numPr>
                <w:ilvl w:val="0"/>
                <w:numId w:val="1"/>
              </w:numPr>
              <w:spacing w:before="120" w:after="120"/>
            </w:pPr>
            <w:r>
              <w:t>Favoriser le travail d'</w:t>
            </w:r>
            <w:r w:rsidR="00EA05A2">
              <w:t xml:space="preserve">interconnaissance des populations et </w:t>
            </w:r>
            <w:r w:rsidR="00EA05A2">
              <w:lastRenderedPageBreak/>
              <w:t>d’appropriation des espaces extérieurs</w:t>
            </w:r>
          </w:p>
        </w:tc>
      </w:tr>
      <w:tr w:rsidR="00A90AB4" w:rsidTr="003C27A5">
        <w:tc>
          <w:tcPr>
            <w:tcW w:w="2987" w:type="dxa"/>
            <w:shd w:val="clear" w:color="auto" w:fill="B8CCE4"/>
            <w:tcMar>
              <w:left w:w="5" w:type="dxa"/>
            </w:tcMar>
          </w:tcPr>
          <w:p w:rsidR="00A90AB4" w:rsidRDefault="00A90AB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lastRenderedPageBreak/>
              <w:t>Effets attendus</w:t>
            </w:r>
          </w:p>
        </w:tc>
        <w:tc>
          <w:tcPr>
            <w:tcW w:w="7867" w:type="dxa"/>
            <w:shd w:val="clear" w:color="auto" w:fill="B8CCE4"/>
            <w:tcMar>
              <w:left w:w="5" w:type="dxa"/>
            </w:tcMar>
          </w:tcPr>
          <w:p w:rsidR="00A90AB4" w:rsidRDefault="00A90AB4">
            <w:pPr>
              <w:pStyle w:val="Contenudetableau"/>
              <w:numPr>
                <w:ilvl w:val="0"/>
                <w:numId w:val="1"/>
              </w:numPr>
              <w:spacing w:before="120" w:after="120"/>
            </w:pPr>
            <w:r>
              <w:t>Réassurance des habitants sur leur cadre de vie</w:t>
            </w:r>
          </w:p>
        </w:tc>
      </w:tr>
      <w:tr w:rsidR="00A90AB4" w:rsidTr="003C27A5">
        <w:tc>
          <w:tcPr>
            <w:tcW w:w="2987" w:type="dxa"/>
            <w:shd w:val="clear" w:color="auto" w:fill="B8CCE4"/>
            <w:tcMar>
              <w:left w:w="5" w:type="dxa"/>
            </w:tcMar>
          </w:tcPr>
          <w:p w:rsidR="00A90AB4" w:rsidRDefault="00A90AB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Echelle Territoriale</w:t>
            </w:r>
          </w:p>
        </w:tc>
        <w:tc>
          <w:tcPr>
            <w:tcW w:w="7867" w:type="dxa"/>
            <w:shd w:val="clear" w:color="auto" w:fill="B8CCE4"/>
            <w:tcMar>
              <w:left w:w="5" w:type="dxa"/>
            </w:tcMar>
          </w:tcPr>
          <w:p w:rsidR="00A90AB4" w:rsidRDefault="00A90AB4">
            <w:pPr>
              <w:pStyle w:val="Contenudetableau"/>
              <w:numPr>
                <w:ilvl w:val="0"/>
                <w:numId w:val="1"/>
              </w:numPr>
              <w:spacing w:before="120" w:after="120"/>
            </w:pPr>
            <w:r>
              <w:t>Quartiers à cibler le cas échéant</w:t>
            </w:r>
          </w:p>
        </w:tc>
      </w:tr>
      <w:tr w:rsidR="00A90AB4" w:rsidTr="003C27A5">
        <w:tc>
          <w:tcPr>
            <w:tcW w:w="2987" w:type="dxa"/>
            <w:shd w:val="clear" w:color="auto" w:fill="B8CCE4"/>
            <w:tcMar>
              <w:left w:w="5" w:type="dxa"/>
            </w:tcMar>
          </w:tcPr>
          <w:p w:rsidR="00A90AB4" w:rsidRDefault="00A90AB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Animateur</w:t>
            </w:r>
          </w:p>
        </w:tc>
        <w:tc>
          <w:tcPr>
            <w:tcW w:w="7867" w:type="dxa"/>
            <w:shd w:val="clear" w:color="auto" w:fill="B8CCE4"/>
            <w:tcMar>
              <w:left w:w="5" w:type="dxa"/>
            </w:tcMar>
          </w:tcPr>
          <w:p w:rsidR="00A90AB4" w:rsidRDefault="00A90AB4">
            <w:pPr>
              <w:pStyle w:val="Contenudetableau"/>
              <w:numPr>
                <w:ilvl w:val="0"/>
                <w:numId w:val="1"/>
              </w:numPr>
              <w:spacing w:before="120" w:after="120"/>
            </w:pPr>
            <w:r>
              <w:t>Préfecture</w:t>
            </w:r>
          </w:p>
          <w:p w:rsidR="00A90AB4" w:rsidRDefault="00A90AB4">
            <w:pPr>
              <w:pStyle w:val="Contenudetableau"/>
              <w:numPr>
                <w:ilvl w:val="0"/>
                <w:numId w:val="1"/>
              </w:numPr>
              <w:spacing w:before="120" w:after="120"/>
            </w:pPr>
            <w:r>
              <w:t>Villes</w:t>
            </w:r>
          </w:p>
        </w:tc>
      </w:tr>
      <w:tr w:rsidR="00A90AB4" w:rsidTr="003C27A5">
        <w:trPr>
          <w:trHeight w:val="95"/>
        </w:trPr>
        <w:tc>
          <w:tcPr>
            <w:tcW w:w="2987" w:type="dxa"/>
            <w:shd w:val="clear" w:color="auto" w:fill="B8CCE4"/>
            <w:tcMar>
              <w:left w:w="5" w:type="dxa"/>
            </w:tcMar>
          </w:tcPr>
          <w:p w:rsidR="00A90AB4" w:rsidRDefault="00A90AB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Partenaires mobilisables (dont habitants)</w:t>
            </w:r>
          </w:p>
          <w:p w:rsidR="00A90AB4" w:rsidRDefault="00A90AB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Dispositifs mobilisables</w:t>
            </w:r>
          </w:p>
        </w:tc>
        <w:tc>
          <w:tcPr>
            <w:tcW w:w="7867" w:type="dxa"/>
            <w:shd w:val="clear" w:color="auto" w:fill="B8CCE4"/>
            <w:tcMar>
              <w:left w:w="5" w:type="dxa"/>
            </w:tcMar>
          </w:tcPr>
          <w:p w:rsidR="00A90AB4" w:rsidRDefault="00A90AB4">
            <w:pPr>
              <w:pStyle w:val="Contenudetableau"/>
              <w:numPr>
                <w:ilvl w:val="0"/>
                <w:numId w:val="1"/>
              </w:numPr>
              <w:spacing w:before="120" w:after="120"/>
            </w:pPr>
            <w:r>
              <w:t>Police nationale</w:t>
            </w:r>
          </w:p>
          <w:p w:rsidR="00A90AB4" w:rsidRDefault="00A90AB4">
            <w:pPr>
              <w:pStyle w:val="Contenudetableau"/>
              <w:numPr>
                <w:ilvl w:val="0"/>
                <w:numId w:val="1"/>
              </w:numPr>
              <w:spacing w:before="120" w:after="120"/>
            </w:pPr>
            <w:r>
              <w:t>Polices municipales</w:t>
            </w:r>
          </w:p>
          <w:p w:rsidR="00A90AB4" w:rsidRDefault="00A90AB4">
            <w:pPr>
              <w:pStyle w:val="Contenudetableau"/>
              <w:numPr>
                <w:ilvl w:val="0"/>
                <w:numId w:val="1"/>
              </w:numPr>
              <w:spacing w:before="120" w:after="120"/>
            </w:pPr>
            <w:r>
              <w:t>Adultes-relais</w:t>
            </w:r>
          </w:p>
        </w:tc>
      </w:tr>
      <w:tr w:rsidR="00A90AB4" w:rsidTr="003C27A5">
        <w:tc>
          <w:tcPr>
            <w:tcW w:w="2987" w:type="dxa"/>
            <w:shd w:val="clear" w:color="auto" w:fill="B8CCE4"/>
            <w:tcMar>
              <w:left w:w="5" w:type="dxa"/>
            </w:tcMar>
          </w:tcPr>
          <w:p w:rsidR="00A90AB4" w:rsidRDefault="00A90AB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Financements mobilisables</w:t>
            </w:r>
          </w:p>
        </w:tc>
        <w:tc>
          <w:tcPr>
            <w:tcW w:w="7867" w:type="dxa"/>
            <w:shd w:val="clear" w:color="auto" w:fill="B8CCE4"/>
            <w:tcMar>
              <w:left w:w="5" w:type="dxa"/>
            </w:tcMar>
          </w:tcPr>
          <w:p w:rsidR="00A90AB4" w:rsidRDefault="00A90AB4">
            <w:pPr>
              <w:pStyle w:val="Contenudetableau"/>
              <w:numPr>
                <w:ilvl w:val="0"/>
                <w:numId w:val="1"/>
              </w:numPr>
              <w:spacing w:before="120" w:after="120"/>
            </w:pPr>
            <w:r>
              <w:t>FIPD</w:t>
            </w:r>
          </w:p>
          <w:p w:rsidR="00A90AB4" w:rsidRDefault="00A90AB4">
            <w:pPr>
              <w:pStyle w:val="Contenudetableau"/>
              <w:numPr>
                <w:ilvl w:val="0"/>
                <w:numId w:val="1"/>
              </w:numPr>
              <w:spacing w:before="120" w:after="120"/>
            </w:pPr>
            <w:r>
              <w:t>Crédits d’Etat du BOP 147</w:t>
            </w:r>
          </w:p>
          <w:p w:rsidR="00A90AB4" w:rsidRDefault="00A90AB4">
            <w:pPr>
              <w:pStyle w:val="Contenudetableau"/>
              <w:numPr>
                <w:ilvl w:val="0"/>
                <w:numId w:val="1"/>
              </w:numPr>
              <w:spacing w:before="120" w:after="120"/>
            </w:pPr>
            <w:r>
              <w:t>Financement des villes</w:t>
            </w:r>
          </w:p>
        </w:tc>
      </w:tr>
      <w:tr w:rsidR="00A90AB4" w:rsidTr="003C27A5">
        <w:trPr>
          <w:trHeight w:val="272"/>
        </w:trPr>
        <w:tc>
          <w:tcPr>
            <w:tcW w:w="2987" w:type="dxa"/>
            <w:shd w:val="clear" w:color="auto" w:fill="B8CCE4"/>
            <w:tcMar>
              <w:left w:w="5" w:type="dxa"/>
            </w:tcMar>
          </w:tcPr>
          <w:p w:rsidR="00A90AB4" w:rsidRDefault="00A90AB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Calendrier</w:t>
            </w:r>
          </w:p>
        </w:tc>
        <w:tc>
          <w:tcPr>
            <w:tcW w:w="7867" w:type="dxa"/>
            <w:shd w:val="clear" w:color="auto" w:fill="B8CCE4"/>
            <w:tcMar>
              <w:left w:w="5" w:type="dxa"/>
            </w:tcMar>
          </w:tcPr>
          <w:p w:rsidR="00A90AB4" w:rsidRDefault="00A90AB4">
            <w:pPr>
              <w:pStyle w:val="Contenudetableau"/>
              <w:numPr>
                <w:ilvl w:val="0"/>
                <w:numId w:val="1"/>
              </w:numPr>
              <w:spacing w:before="120" w:after="120"/>
            </w:pPr>
            <w:r>
              <w:t>Ponctuel pour les diagnostics, actions annuelles pour le reste</w:t>
            </w:r>
          </w:p>
        </w:tc>
      </w:tr>
      <w:tr w:rsidR="00A90AB4" w:rsidTr="003C27A5">
        <w:tc>
          <w:tcPr>
            <w:tcW w:w="2987" w:type="dxa"/>
            <w:shd w:val="clear" w:color="auto" w:fill="B8CCE4"/>
            <w:tcMar>
              <w:left w:w="5" w:type="dxa"/>
            </w:tcMar>
          </w:tcPr>
          <w:p w:rsidR="00A90AB4" w:rsidRDefault="00A90AB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Indicateurs de réalisation</w:t>
            </w:r>
          </w:p>
        </w:tc>
        <w:tc>
          <w:tcPr>
            <w:tcW w:w="7867" w:type="dxa"/>
            <w:shd w:val="clear" w:color="auto" w:fill="B8CCE4"/>
            <w:tcMar>
              <w:left w:w="5" w:type="dxa"/>
            </w:tcMar>
          </w:tcPr>
          <w:p w:rsidR="00A90AB4" w:rsidRDefault="00A90AB4">
            <w:pPr>
              <w:pStyle w:val="Contenudetableau"/>
              <w:numPr>
                <w:ilvl w:val="0"/>
                <w:numId w:val="1"/>
              </w:numPr>
              <w:spacing w:before="120" w:after="120"/>
            </w:pPr>
            <w:r>
              <w:t>Réalisation de diagnostics</w:t>
            </w:r>
          </w:p>
          <w:p w:rsidR="00A90AB4" w:rsidRDefault="00A90AB4">
            <w:pPr>
              <w:pStyle w:val="Contenudetableau"/>
              <w:numPr>
                <w:ilvl w:val="0"/>
                <w:numId w:val="1"/>
              </w:numPr>
              <w:spacing w:before="120" w:after="120"/>
            </w:pPr>
            <w:r>
              <w:t>Détail des régulations mises en œuvre et analyse de leur portée</w:t>
            </w:r>
          </w:p>
          <w:p w:rsidR="00A90AB4" w:rsidRPr="00F5755A" w:rsidRDefault="00A90AB4">
            <w:pPr>
              <w:pStyle w:val="Contenudetableau"/>
              <w:numPr>
                <w:ilvl w:val="0"/>
                <w:numId w:val="1"/>
              </w:numPr>
              <w:spacing w:before="120" w:after="120"/>
            </w:pPr>
            <w:r w:rsidRPr="00F5755A">
              <w:t>Nombre d’actions réalisées</w:t>
            </w:r>
          </w:p>
        </w:tc>
      </w:tr>
      <w:tr w:rsidR="00A90AB4" w:rsidTr="003C27A5">
        <w:tc>
          <w:tcPr>
            <w:tcW w:w="2987" w:type="dxa"/>
            <w:shd w:val="clear" w:color="auto" w:fill="B8CCE4"/>
            <w:tcMar>
              <w:left w:w="5" w:type="dxa"/>
            </w:tcMar>
          </w:tcPr>
          <w:p w:rsidR="00A90AB4" w:rsidRDefault="00A90AB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Indicateurs d’effet</w:t>
            </w:r>
          </w:p>
        </w:tc>
        <w:tc>
          <w:tcPr>
            <w:tcW w:w="7867" w:type="dxa"/>
            <w:shd w:val="clear" w:color="auto" w:fill="B8CCE4"/>
            <w:tcMar>
              <w:left w:w="5" w:type="dxa"/>
            </w:tcMar>
          </w:tcPr>
          <w:p w:rsidR="00A90AB4" w:rsidRPr="00F5755A" w:rsidRDefault="00A90AB4">
            <w:pPr>
              <w:pStyle w:val="Contenudetableau"/>
              <w:numPr>
                <w:ilvl w:val="0"/>
                <w:numId w:val="1"/>
              </w:numPr>
              <w:spacing w:before="120" w:after="120"/>
            </w:pPr>
            <w:r w:rsidRPr="00F5755A">
              <w:t>Diminution des faits commis</w:t>
            </w:r>
          </w:p>
          <w:p w:rsidR="00A90AB4" w:rsidRDefault="00A90AB4">
            <w:pPr>
              <w:pStyle w:val="Contenudetableau"/>
              <w:numPr>
                <w:ilvl w:val="0"/>
                <w:numId w:val="1"/>
              </w:numPr>
              <w:spacing w:before="120" w:after="120"/>
            </w:pPr>
            <w:r w:rsidRPr="00F5755A">
              <w:t>Nombre d’actions de réappropriation de l’espace public</w:t>
            </w:r>
          </w:p>
        </w:tc>
      </w:tr>
      <w:tr w:rsidR="00A90AB4" w:rsidTr="003C27A5">
        <w:tc>
          <w:tcPr>
            <w:tcW w:w="2987" w:type="dxa"/>
            <w:shd w:val="clear" w:color="auto" w:fill="B8CCE4"/>
            <w:tcMar>
              <w:left w:w="5" w:type="dxa"/>
            </w:tcMar>
          </w:tcPr>
          <w:p w:rsidR="00A90AB4" w:rsidRDefault="00A90AB4">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7867" w:type="dxa"/>
            <w:shd w:val="clear" w:color="auto" w:fill="B8CCE4"/>
            <w:tcMar>
              <w:left w:w="5" w:type="dxa"/>
            </w:tcMar>
          </w:tcPr>
          <w:p w:rsidR="003A1480" w:rsidRDefault="003A1480">
            <w:pPr>
              <w:pStyle w:val="Contenudetableau"/>
              <w:numPr>
                <w:ilvl w:val="0"/>
                <w:numId w:val="1"/>
              </w:numPr>
              <w:spacing w:before="120" w:after="120"/>
            </w:pPr>
            <w:r>
              <w:t>Fiche 421 – Mobiliser les dispositifs de prévention</w:t>
            </w:r>
          </w:p>
          <w:p w:rsidR="00A90AB4" w:rsidRDefault="00F5755A">
            <w:pPr>
              <w:pStyle w:val="Contenudetableau"/>
              <w:numPr>
                <w:ilvl w:val="0"/>
                <w:numId w:val="1"/>
              </w:numPr>
              <w:spacing w:before="120" w:after="120"/>
            </w:pPr>
            <w:r>
              <w:t>Fiche 422 – Présence humaine</w:t>
            </w:r>
          </w:p>
        </w:tc>
      </w:tr>
    </w:tbl>
    <w:p w:rsidR="00A90AB4" w:rsidRDefault="00A90AB4">
      <w:pPr>
        <w:pStyle w:val="Normal1"/>
        <w:widowControl/>
        <w:suppressAutoHyphens w:val="0"/>
        <w:textAlignment w:val="auto"/>
      </w:pPr>
    </w:p>
    <w:sectPr w:rsidR="00A90AB4" w:rsidSect="00BA2F79">
      <w:footerReference w:type="default" r:id="rId7"/>
      <w:pgSz w:w="11906" w:h="16838"/>
      <w:pgMar w:top="454" w:right="567" w:bottom="737" w:left="567" w:header="0" w:footer="567" w:gutter="0"/>
      <w:cols w:space="720"/>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AB4" w:rsidRDefault="00A90AB4" w:rsidP="00BA2F79">
      <w:r>
        <w:separator/>
      </w:r>
    </w:p>
  </w:endnote>
  <w:endnote w:type="continuationSeparator" w:id="0">
    <w:p w:rsidR="00A90AB4" w:rsidRDefault="00A90AB4" w:rsidP="00BA2F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6B7" w:rsidRDefault="00A426B7" w:rsidP="00A426B7">
    <w:pPr>
      <w:pStyle w:val="Pieddepage"/>
      <w:jc w:val="right"/>
      <w:rPr>
        <w:rFonts w:ascii="Verdana" w:hAnsi="Verdana" w:cs="Verdana"/>
        <w:sz w:val="16"/>
        <w:szCs w:val="16"/>
      </w:rPr>
    </w:pPr>
    <w:r>
      <w:rPr>
        <w:rFonts w:ascii="Verdana" w:hAnsi="Verdana" w:cs="Verdana"/>
        <w:sz w:val="16"/>
        <w:szCs w:val="16"/>
      </w:rPr>
      <w:t>Contrat de ville - Fiche orientation opérationnelle</w:t>
    </w:r>
  </w:p>
  <w:p w:rsidR="00A90AB4" w:rsidRDefault="00A426B7" w:rsidP="00A426B7">
    <w:pPr>
      <w:pStyle w:val="Pieddepage"/>
      <w:jc w:val="right"/>
    </w:pPr>
    <w:r>
      <w:rPr>
        <w:rFonts w:ascii="Verdana" w:hAnsi="Verdana" w:cs="Verdana"/>
        <w:sz w:val="16"/>
        <w:szCs w:val="16"/>
      </w:rPr>
      <w:t>Date de mise à jour : 15 novembre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AB4" w:rsidRDefault="00A90AB4">
      <w:r>
        <w:separator/>
      </w:r>
    </w:p>
  </w:footnote>
  <w:footnote w:type="continuationSeparator" w:id="0">
    <w:p w:rsidR="00A90AB4" w:rsidRDefault="00A90AB4">
      <w:r>
        <w:continuationSeparator/>
      </w:r>
    </w:p>
  </w:footnote>
  <w:footnote w:id="1">
    <w:p w:rsidR="00A90AB4" w:rsidRDefault="00A90AB4">
      <w:pPr>
        <w:pStyle w:val="Notedebasdepage"/>
        <w:jc w:val="both"/>
      </w:pPr>
      <w:r>
        <w:rPr>
          <w:rStyle w:val="Appelnotedebasdep"/>
        </w:rPr>
        <w:footnoteRef/>
      </w:r>
      <w:r>
        <w:rPr>
          <w:rStyle w:val="Appelnotedebasdep"/>
        </w:rPr>
        <w:tab/>
      </w:r>
      <w:r>
        <w:t xml:space="preserve"> Nathan </w:t>
      </w:r>
      <w:proofErr w:type="spellStart"/>
      <w:r>
        <w:t>Glazer</w:t>
      </w:r>
      <w:proofErr w:type="spellEnd"/>
      <w:r>
        <w:t>, sociologue américain  enseignant à Berkeley et Harvard a travaillé dans les années 1970 sur le sentiment d'insécurité dans le métro new-yorkais. Il avait mis en évidence que les graffitis étaient fortement générateurs d'insécurité, sur la base de ce raisonnement : "Si la police ne parvient pas à empêcher une chose aussi simple qu'un tag, comment peut-elle empêcher un crime d'être commis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44378"/>
    <w:multiLevelType w:val="multilevel"/>
    <w:tmpl w:val="FFFFFFF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EB235F7"/>
    <w:multiLevelType w:val="hybridMultilevel"/>
    <w:tmpl w:val="EDB835F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68E97B04"/>
    <w:multiLevelType w:val="multilevel"/>
    <w:tmpl w:val="FFFFFFFF"/>
    <w:lvl w:ilvl="0">
      <w:start w:val="1"/>
      <w:numFmt w:val="bullet"/>
      <w:lvlText w:val="•"/>
      <w:lvlJc w:val="left"/>
      <w:pPr>
        <w:tabs>
          <w:tab w:val="num" w:pos="928"/>
        </w:tabs>
        <w:ind w:left="928" w:hanging="360"/>
      </w:pPr>
      <w:rPr>
        <w:rFonts w:ascii="Arial" w:hAnsi="Arial" w:cs="Aria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num w:numId="1">
    <w:abstractNumId w:val="2"/>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rsids>
    <w:rsidRoot w:val="00BA2F79"/>
    <w:rsid w:val="00090DEA"/>
    <w:rsid w:val="001A45CA"/>
    <w:rsid w:val="003350BB"/>
    <w:rsid w:val="003A1480"/>
    <w:rsid w:val="003C27A5"/>
    <w:rsid w:val="00437195"/>
    <w:rsid w:val="00576857"/>
    <w:rsid w:val="00621E75"/>
    <w:rsid w:val="00671D88"/>
    <w:rsid w:val="00A426B7"/>
    <w:rsid w:val="00A90AB4"/>
    <w:rsid w:val="00AB4DD2"/>
    <w:rsid w:val="00BA2F79"/>
    <w:rsid w:val="00BD6876"/>
    <w:rsid w:val="00EA05A2"/>
    <w:rsid w:val="00EB03CF"/>
    <w:rsid w:val="00EE6332"/>
    <w:rsid w:val="00F23530"/>
    <w:rsid w:val="00F5755A"/>
    <w:rsid w:val="00F66A6B"/>
    <w:rsid w:val="00FE4AE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5CA"/>
    <w:rPr>
      <w:sz w:val="20"/>
      <w:szCs w:val="20"/>
    </w:rPr>
  </w:style>
  <w:style w:type="paragraph" w:styleId="Titre1">
    <w:name w:val="heading 1"/>
    <w:basedOn w:val="Titre"/>
    <w:link w:val="Titre1Car"/>
    <w:uiPriority w:val="99"/>
    <w:qFormat/>
    <w:rsid w:val="001A45CA"/>
    <w:pPr>
      <w:outlineLvl w:val="0"/>
    </w:pPr>
    <w:rPr>
      <w:b/>
      <w:bCs/>
    </w:rPr>
  </w:style>
  <w:style w:type="paragraph" w:styleId="Titre2">
    <w:name w:val="heading 2"/>
    <w:basedOn w:val="Titre"/>
    <w:link w:val="Titre2Car"/>
    <w:uiPriority w:val="99"/>
    <w:qFormat/>
    <w:rsid w:val="001A45CA"/>
    <w:pPr>
      <w:outlineLvl w:val="1"/>
    </w:pPr>
    <w:rPr>
      <w:b/>
      <w:bCs/>
      <w:i/>
      <w:iCs/>
    </w:rPr>
  </w:style>
  <w:style w:type="paragraph" w:styleId="Titre3">
    <w:name w:val="heading 3"/>
    <w:basedOn w:val="Titre"/>
    <w:link w:val="Titre3Car"/>
    <w:uiPriority w:val="99"/>
    <w:qFormat/>
    <w:rsid w:val="001A45CA"/>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4A88"/>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484A88"/>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484A88"/>
    <w:rPr>
      <w:rFonts w:asciiTheme="majorHAnsi" w:eastAsiaTheme="majorEastAsia" w:hAnsiTheme="majorHAnsi" w:cstheme="majorBidi"/>
      <w:b/>
      <w:bCs/>
      <w:sz w:val="26"/>
      <w:szCs w:val="26"/>
    </w:rPr>
  </w:style>
  <w:style w:type="character" w:customStyle="1" w:styleId="WW8Num1z0">
    <w:name w:val="WW8Num1z0"/>
    <w:uiPriority w:val="99"/>
    <w:rsid w:val="001A45CA"/>
    <w:rPr>
      <w:rFonts w:ascii="Symbol" w:hAnsi="Symbol" w:cs="Symbol"/>
    </w:rPr>
  </w:style>
  <w:style w:type="character" w:customStyle="1" w:styleId="WW8Num1z1">
    <w:name w:val="WW8Num1z1"/>
    <w:uiPriority w:val="99"/>
    <w:rsid w:val="001A45CA"/>
    <w:rPr>
      <w:rFonts w:ascii="OpenSymbol" w:hAnsi="OpenSymbol" w:cs="OpenSymbol"/>
    </w:rPr>
  </w:style>
  <w:style w:type="character" w:customStyle="1" w:styleId="WW8Num2z0">
    <w:name w:val="WW8Num2z0"/>
    <w:uiPriority w:val="99"/>
    <w:rsid w:val="001A45CA"/>
    <w:rPr>
      <w:rFonts w:ascii="Verdana" w:eastAsia="SimSun" w:hAnsi="Verdana" w:cs="Verdana"/>
    </w:rPr>
  </w:style>
  <w:style w:type="character" w:customStyle="1" w:styleId="WW8Num2z1">
    <w:name w:val="WW8Num2z1"/>
    <w:uiPriority w:val="99"/>
    <w:rsid w:val="001A45CA"/>
    <w:rPr>
      <w:rFonts w:ascii="Courier New" w:hAnsi="Courier New" w:cs="Courier New"/>
    </w:rPr>
  </w:style>
  <w:style w:type="character" w:customStyle="1" w:styleId="WW8Num2z2">
    <w:name w:val="WW8Num2z2"/>
    <w:uiPriority w:val="99"/>
    <w:rsid w:val="001A45CA"/>
    <w:rPr>
      <w:rFonts w:ascii="Wingdings" w:hAnsi="Wingdings" w:cs="Wingdings"/>
    </w:rPr>
  </w:style>
  <w:style w:type="character" w:customStyle="1" w:styleId="WW8Num2z3">
    <w:name w:val="WW8Num2z3"/>
    <w:uiPriority w:val="99"/>
    <w:rsid w:val="001A45CA"/>
    <w:rPr>
      <w:rFonts w:ascii="Symbol" w:hAnsi="Symbol" w:cs="Symbol"/>
    </w:rPr>
  </w:style>
  <w:style w:type="character" w:customStyle="1" w:styleId="WW8Num4z0">
    <w:name w:val="WW8Num4z0"/>
    <w:uiPriority w:val="99"/>
    <w:rsid w:val="001A45CA"/>
    <w:rPr>
      <w:rFonts w:ascii="Verdana" w:hAnsi="Verdana" w:cs="Verdana"/>
    </w:rPr>
  </w:style>
  <w:style w:type="character" w:customStyle="1" w:styleId="WW8Num4z1">
    <w:name w:val="WW8Num4z1"/>
    <w:uiPriority w:val="99"/>
    <w:rsid w:val="001A45CA"/>
    <w:rPr>
      <w:rFonts w:ascii="Courier New" w:hAnsi="Courier New" w:cs="Courier New"/>
    </w:rPr>
  </w:style>
  <w:style w:type="character" w:customStyle="1" w:styleId="WW8Num4z2">
    <w:name w:val="WW8Num4z2"/>
    <w:uiPriority w:val="99"/>
    <w:rsid w:val="001A45CA"/>
    <w:rPr>
      <w:rFonts w:ascii="Wingdings" w:hAnsi="Wingdings" w:cs="Wingdings"/>
    </w:rPr>
  </w:style>
  <w:style w:type="character" w:customStyle="1" w:styleId="WW8Num4z3">
    <w:name w:val="WW8Num4z3"/>
    <w:uiPriority w:val="99"/>
    <w:rsid w:val="001A45CA"/>
    <w:rPr>
      <w:rFonts w:ascii="Symbol" w:hAnsi="Symbol" w:cs="Symbol"/>
    </w:rPr>
  </w:style>
  <w:style w:type="character" w:customStyle="1" w:styleId="WW8Num5z0">
    <w:name w:val="WW8Num5z0"/>
    <w:uiPriority w:val="99"/>
    <w:rsid w:val="001A45CA"/>
    <w:rPr>
      <w:rFonts w:ascii="Symbol" w:hAnsi="Symbol" w:cs="Symbol"/>
    </w:rPr>
  </w:style>
  <w:style w:type="character" w:customStyle="1" w:styleId="WW8Num5z1">
    <w:name w:val="WW8Num5z1"/>
    <w:uiPriority w:val="99"/>
    <w:rsid w:val="001A45CA"/>
    <w:rPr>
      <w:rFonts w:ascii="OpenSymbol" w:hAnsi="OpenSymbol" w:cs="OpenSymbol"/>
    </w:rPr>
  </w:style>
  <w:style w:type="character" w:customStyle="1" w:styleId="WW8Num5z2">
    <w:name w:val="WW8Num5z2"/>
    <w:uiPriority w:val="99"/>
    <w:rsid w:val="001A45CA"/>
    <w:rPr>
      <w:rFonts w:ascii="Wingdings" w:hAnsi="Wingdings" w:cs="Wingdings"/>
    </w:rPr>
  </w:style>
  <w:style w:type="character" w:customStyle="1" w:styleId="WW8Num5z3">
    <w:name w:val="WW8Num5z3"/>
    <w:uiPriority w:val="99"/>
    <w:rsid w:val="001A45CA"/>
    <w:rPr>
      <w:rFonts w:ascii="Symbol" w:hAnsi="Symbol" w:cs="Symbol"/>
    </w:rPr>
  </w:style>
  <w:style w:type="character" w:customStyle="1" w:styleId="WW8Num6z0">
    <w:name w:val="WW8Num6z0"/>
    <w:uiPriority w:val="99"/>
    <w:rsid w:val="001A45CA"/>
    <w:rPr>
      <w:rFonts w:ascii="Symbol" w:hAnsi="Symbol" w:cs="Symbol"/>
    </w:rPr>
  </w:style>
  <w:style w:type="character" w:customStyle="1" w:styleId="WW8Num6z1">
    <w:name w:val="WW8Num6z1"/>
    <w:uiPriority w:val="99"/>
    <w:rsid w:val="001A45CA"/>
    <w:rPr>
      <w:rFonts w:ascii="OpenSymbol" w:hAnsi="OpenSymbol" w:cs="OpenSymbol"/>
    </w:rPr>
  </w:style>
  <w:style w:type="character" w:customStyle="1" w:styleId="Policepardfaut1">
    <w:name w:val="Police par défaut1"/>
    <w:uiPriority w:val="99"/>
    <w:rsid w:val="001A45CA"/>
  </w:style>
  <w:style w:type="character" w:customStyle="1" w:styleId="Caractresdenumrotation">
    <w:name w:val="Caractères de numérotation"/>
    <w:uiPriority w:val="99"/>
    <w:rsid w:val="001A45CA"/>
    <w:rPr>
      <w:b/>
      <w:bCs/>
    </w:rPr>
  </w:style>
  <w:style w:type="character" w:customStyle="1" w:styleId="Bullets">
    <w:name w:val="Bullets"/>
    <w:uiPriority w:val="99"/>
    <w:rsid w:val="001A45CA"/>
    <w:rPr>
      <w:rFonts w:ascii="OpenSymbol" w:eastAsia="Times New Roman" w:hAnsi="OpenSymbol" w:cs="OpenSymbol"/>
    </w:rPr>
  </w:style>
  <w:style w:type="character" w:customStyle="1" w:styleId="En-tteCar">
    <w:name w:val="En-tête Car"/>
    <w:uiPriority w:val="99"/>
    <w:rsid w:val="001A45CA"/>
    <w:rPr>
      <w:sz w:val="21"/>
      <w:szCs w:val="21"/>
    </w:rPr>
  </w:style>
  <w:style w:type="character" w:styleId="Numrodepage">
    <w:name w:val="page number"/>
    <w:basedOn w:val="Policepardfaut1"/>
    <w:uiPriority w:val="99"/>
    <w:rsid w:val="001A45CA"/>
  </w:style>
  <w:style w:type="character" w:customStyle="1" w:styleId="Puces">
    <w:name w:val="Puces"/>
    <w:uiPriority w:val="99"/>
    <w:rsid w:val="001A45CA"/>
    <w:rPr>
      <w:rFonts w:ascii="OpenSymbol" w:eastAsia="Times New Roman" w:hAnsi="OpenSymbol" w:cs="OpenSymbol"/>
    </w:rPr>
  </w:style>
  <w:style w:type="character" w:customStyle="1" w:styleId="ListLabel1">
    <w:name w:val="ListLabel 1"/>
    <w:uiPriority w:val="99"/>
    <w:rsid w:val="001A45CA"/>
  </w:style>
  <w:style w:type="character" w:customStyle="1" w:styleId="ListLabel2">
    <w:name w:val="ListLabel 2"/>
    <w:uiPriority w:val="99"/>
    <w:rsid w:val="001A45CA"/>
    <w:rPr>
      <w:rFonts w:eastAsia="SimSun"/>
    </w:rPr>
  </w:style>
  <w:style w:type="character" w:customStyle="1" w:styleId="ListLabel3">
    <w:name w:val="ListLabel 3"/>
    <w:uiPriority w:val="99"/>
    <w:rsid w:val="001A45CA"/>
  </w:style>
  <w:style w:type="character" w:customStyle="1" w:styleId="En-tteCar1">
    <w:name w:val="En-tête Car1"/>
    <w:basedOn w:val="Policepardfaut"/>
    <w:uiPriority w:val="99"/>
    <w:rsid w:val="001A45CA"/>
  </w:style>
  <w:style w:type="character" w:customStyle="1" w:styleId="PieddepageCar">
    <w:name w:val="Pied de page Car"/>
    <w:basedOn w:val="Policepardfaut"/>
    <w:link w:val="Pieddepage"/>
    <w:uiPriority w:val="99"/>
    <w:locked/>
    <w:rsid w:val="001A45CA"/>
  </w:style>
  <w:style w:type="character" w:styleId="lev">
    <w:name w:val="Strong"/>
    <w:basedOn w:val="Policepardfaut"/>
    <w:uiPriority w:val="99"/>
    <w:qFormat/>
    <w:rsid w:val="001A45CA"/>
    <w:rPr>
      <w:b/>
      <w:bCs/>
    </w:rPr>
  </w:style>
  <w:style w:type="character" w:customStyle="1" w:styleId="LienInternet">
    <w:name w:val="Lien Internet"/>
    <w:basedOn w:val="Policepardfaut"/>
    <w:uiPriority w:val="99"/>
    <w:rsid w:val="001A45CA"/>
    <w:rPr>
      <w:color w:val="0000FF"/>
      <w:u w:val="single"/>
    </w:rPr>
  </w:style>
  <w:style w:type="character" w:customStyle="1" w:styleId="NotedebasdepageCar">
    <w:name w:val="Note de bas de page Car"/>
    <w:basedOn w:val="Policepardfaut"/>
    <w:link w:val="Notedebasdepage"/>
    <w:uiPriority w:val="99"/>
    <w:locked/>
    <w:rsid w:val="001A45CA"/>
  </w:style>
  <w:style w:type="character" w:styleId="Appelnotedebasdep">
    <w:name w:val="footnote reference"/>
    <w:basedOn w:val="Policepardfaut"/>
    <w:uiPriority w:val="99"/>
    <w:semiHidden/>
    <w:rsid w:val="001A45CA"/>
    <w:rPr>
      <w:vertAlign w:val="superscript"/>
    </w:rPr>
  </w:style>
  <w:style w:type="character" w:customStyle="1" w:styleId="ListLabel4">
    <w:name w:val="ListLabel 4"/>
    <w:uiPriority w:val="99"/>
    <w:rsid w:val="00BA2F79"/>
  </w:style>
  <w:style w:type="character" w:customStyle="1" w:styleId="ListLabel5">
    <w:name w:val="ListLabel 5"/>
    <w:uiPriority w:val="99"/>
    <w:rsid w:val="00BA2F79"/>
  </w:style>
  <w:style w:type="character" w:customStyle="1" w:styleId="ListLabel6">
    <w:name w:val="ListLabel 6"/>
    <w:uiPriority w:val="99"/>
    <w:rsid w:val="00BA2F79"/>
  </w:style>
  <w:style w:type="character" w:customStyle="1" w:styleId="ListLabel7">
    <w:name w:val="ListLabel 7"/>
    <w:uiPriority w:val="99"/>
    <w:rsid w:val="00BA2F79"/>
  </w:style>
  <w:style w:type="character" w:customStyle="1" w:styleId="ListLabel8">
    <w:name w:val="ListLabel 8"/>
    <w:uiPriority w:val="99"/>
    <w:rsid w:val="00BA2F79"/>
  </w:style>
  <w:style w:type="character" w:customStyle="1" w:styleId="ListLabel9">
    <w:name w:val="ListLabel 9"/>
    <w:uiPriority w:val="99"/>
    <w:rsid w:val="00BA2F79"/>
  </w:style>
  <w:style w:type="character" w:customStyle="1" w:styleId="ListLabel10">
    <w:name w:val="ListLabel 10"/>
    <w:uiPriority w:val="99"/>
    <w:rsid w:val="00BA2F79"/>
  </w:style>
  <w:style w:type="character" w:customStyle="1" w:styleId="ListLabel11">
    <w:name w:val="ListLabel 11"/>
    <w:uiPriority w:val="99"/>
    <w:rsid w:val="00BA2F79"/>
  </w:style>
  <w:style w:type="character" w:customStyle="1" w:styleId="ListLabel12">
    <w:name w:val="ListLabel 12"/>
    <w:uiPriority w:val="99"/>
    <w:rsid w:val="00BA2F79"/>
  </w:style>
  <w:style w:type="character" w:customStyle="1" w:styleId="Caractresdenotedebasdepage">
    <w:name w:val="Caractères de note de bas de page"/>
    <w:uiPriority w:val="99"/>
    <w:rsid w:val="00BA2F79"/>
  </w:style>
  <w:style w:type="character" w:customStyle="1" w:styleId="Ancredenotedebasdepage">
    <w:name w:val="Ancre de note de bas de page"/>
    <w:uiPriority w:val="99"/>
    <w:rsid w:val="00BA2F79"/>
    <w:rPr>
      <w:vertAlign w:val="superscript"/>
    </w:rPr>
  </w:style>
  <w:style w:type="character" w:customStyle="1" w:styleId="Ancredenotedefin">
    <w:name w:val="Ancre de note de fin"/>
    <w:uiPriority w:val="99"/>
    <w:rsid w:val="00BA2F79"/>
    <w:rPr>
      <w:vertAlign w:val="superscript"/>
    </w:rPr>
  </w:style>
  <w:style w:type="character" w:customStyle="1" w:styleId="Caractresdenotedefin">
    <w:name w:val="Caractères de note de fin"/>
    <w:uiPriority w:val="99"/>
    <w:rsid w:val="00BA2F79"/>
  </w:style>
  <w:style w:type="paragraph" w:styleId="Titre">
    <w:name w:val="Title"/>
    <w:basedOn w:val="Normal"/>
    <w:next w:val="Corpsdetexte"/>
    <w:link w:val="TitreCar"/>
    <w:uiPriority w:val="99"/>
    <w:qFormat/>
    <w:rsid w:val="001A45CA"/>
    <w:pPr>
      <w:keepNext/>
      <w:widowControl w:val="0"/>
      <w:spacing w:before="240" w:after="120"/>
    </w:pPr>
    <w:rPr>
      <w:rFonts w:ascii="Arial" w:eastAsia="Microsoft YaHei" w:hAnsi="Arial" w:cs="Arial"/>
      <w:sz w:val="28"/>
      <w:szCs w:val="28"/>
    </w:rPr>
  </w:style>
  <w:style w:type="character" w:customStyle="1" w:styleId="TitreCar">
    <w:name w:val="Titre Car"/>
    <w:basedOn w:val="Policepardfaut"/>
    <w:link w:val="Titre"/>
    <w:uiPriority w:val="10"/>
    <w:rsid w:val="00484A88"/>
    <w:rPr>
      <w:rFonts w:asciiTheme="majorHAnsi" w:eastAsiaTheme="majorEastAsia" w:hAnsiTheme="majorHAnsi" w:cstheme="majorBidi"/>
      <w:b/>
      <w:bCs/>
      <w:kern w:val="28"/>
      <w:sz w:val="32"/>
      <w:szCs w:val="32"/>
    </w:rPr>
  </w:style>
  <w:style w:type="paragraph" w:styleId="Corpsdetexte">
    <w:name w:val="Body Text"/>
    <w:basedOn w:val="Normal"/>
    <w:link w:val="CorpsdetexteCar"/>
    <w:uiPriority w:val="99"/>
    <w:rsid w:val="00BA2F79"/>
    <w:pPr>
      <w:spacing w:after="140" w:line="288" w:lineRule="auto"/>
    </w:pPr>
  </w:style>
  <w:style w:type="character" w:customStyle="1" w:styleId="CorpsdetexteCar">
    <w:name w:val="Corps de texte Car"/>
    <w:basedOn w:val="Policepardfaut"/>
    <w:link w:val="Corpsdetexte"/>
    <w:uiPriority w:val="99"/>
    <w:semiHidden/>
    <w:rsid w:val="00484A88"/>
    <w:rPr>
      <w:sz w:val="20"/>
      <w:szCs w:val="20"/>
    </w:rPr>
  </w:style>
  <w:style w:type="paragraph" w:styleId="Liste">
    <w:name w:val="List"/>
    <w:basedOn w:val="TextBody"/>
    <w:uiPriority w:val="99"/>
    <w:rsid w:val="001A45CA"/>
  </w:style>
  <w:style w:type="paragraph" w:styleId="Lgende">
    <w:name w:val="caption"/>
    <w:basedOn w:val="Normal1"/>
    <w:uiPriority w:val="99"/>
    <w:qFormat/>
    <w:rsid w:val="001A45CA"/>
    <w:pPr>
      <w:suppressLineNumbers/>
      <w:spacing w:before="120" w:after="120"/>
      <w:textAlignment w:val="auto"/>
    </w:pPr>
    <w:rPr>
      <w:rFonts w:eastAsia="Times New Roman"/>
      <w:i/>
      <w:iCs/>
      <w:lang w:eastAsia="fr-FR"/>
    </w:rPr>
  </w:style>
  <w:style w:type="paragraph" w:customStyle="1" w:styleId="Index">
    <w:name w:val="Index"/>
    <w:basedOn w:val="Normal"/>
    <w:uiPriority w:val="99"/>
    <w:rsid w:val="001A45CA"/>
    <w:pPr>
      <w:widowControl w:val="0"/>
      <w:suppressLineNumbers/>
      <w:suppressAutoHyphens/>
    </w:pPr>
    <w:rPr>
      <w:sz w:val="24"/>
      <w:szCs w:val="24"/>
    </w:rPr>
  </w:style>
  <w:style w:type="paragraph" w:customStyle="1" w:styleId="Normal1">
    <w:name w:val="Normal1"/>
    <w:uiPriority w:val="99"/>
    <w:rsid w:val="001A45CA"/>
    <w:pPr>
      <w:widowControl w:val="0"/>
      <w:suppressAutoHyphens/>
      <w:textAlignment w:val="baseline"/>
    </w:pPr>
    <w:rPr>
      <w:rFonts w:eastAsia="SimSun"/>
      <w:sz w:val="24"/>
      <w:szCs w:val="24"/>
      <w:lang w:eastAsia="zh-CN"/>
    </w:rPr>
  </w:style>
  <w:style w:type="paragraph" w:customStyle="1" w:styleId="TextBody">
    <w:name w:val="Text Body"/>
    <w:uiPriority w:val="99"/>
    <w:rsid w:val="001A45CA"/>
    <w:pPr>
      <w:widowControl w:val="0"/>
      <w:spacing w:after="120" w:line="288" w:lineRule="auto"/>
    </w:pPr>
    <w:rPr>
      <w:sz w:val="20"/>
      <w:szCs w:val="20"/>
    </w:rPr>
  </w:style>
  <w:style w:type="paragraph" w:customStyle="1" w:styleId="Titre10">
    <w:name w:val="Titre1"/>
    <w:basedOn w:val="Normal1"/>
    <w:uiPriority w:val="99"/>
    <w:rsid w:val="001A45CA"/>
    <w:pPr>
      <w:keepNext/>
      <w:spacing w:before="240" w:after="120"/>
    </w:pPr>
    <w:rPr>
      <w:rFonts w:ascii="Arial" w:eastAsia="Microsoft YaHei" w:hAnsi="Arial" w:cs="Arial"/>
      <w:sz w:val="28"/>
      <w:szCs w:val="28"/>
    </w:rPr>
  </w:style>
  <w:style w:type="paragraph" w:customStyle="1" w:styleId="WW-Standard">
    <w:name w:val="WW-Standard"/>
    <w:uiPriority w:val="99"/>
    <w:rsid w:val="001A45CA"/>
    <w:pPr>
      <w:widowControl w:val="0"/>
      <w:suppressAutoHyphens/>
      <w:textAlignment w:val="baseline"/>
    </w:pPr>
    <w:rPr>
      <w:rFonts w:eastAsia="SimSun"/>
      <w:sz w:val="24"/>
      <w:szCs w:val="24"/>
      <w:lang w:eastAsia="zh-CN"/>
    </w:rPr>
  </w:style>
  <w:style w:type="paragraph" w:styleId="Pieddepage">
    <w:name w:val="footer"/>
    <w:basedOn w:val="Normal"/>
    <w:link w:val="PieddepageCar"/>
    <w:uiPriority w:val="99"/>
    <w:rsid w:val="001A45CA"/>
    <w:pPr>
      <w:tabs>
        <w:tab w:val="center" w:pos="4536"/>
        <w:tab w:val="right" w:pos="9072"/>
      </w:tabs>
    </w:pPr>
  </w:style>
  <w:style w:type="character" w:customStyle="1" w:styleId="FooterChar">
    <w:name w:val="Footer Char"/>
    <w:basedOn w:val="Policepardfaut"/>
    <w:uiPriority w:val="99"/>
    <w:semiHidden/>
    <w:rsid w:val="00484A88"/>
    <w:rPr>
      <w:sz w:val="20"/>
      <w:szCs w:val="20"/>
    </w:rPr>
  </w:style>
  <w:style w:type="paragraph" w:customStyle="1" w:styleId="Contenudetableau">
    <w:name w:val="Contenu de tableau"/>
    <w:basedOn w:val="Normal1"/>
    <w:uiPriority w:val="99"/>
    <w:rsid w:val="001A45CA"/>
    <w:pPr>
      <w:suppressLineNumbers/>
    </w:pPr>
  </w:style>
  <w:style w:type="paragraph" w:styleId="En-tte">
    <w:name w:val="header"/>
    <w:basedOn w:val="Normal"/>
    <w:link w:val="En-tteCar2"/>
    <w:uiPriority w:val="99"/>
    <w:rsid w:val="001A45CA"/>
    <w:pPr>
      <w:tabs>
        <w:tab w:val="center" w:pos="4536"/>
        <w:tab w:val="right" w:pos="9072"/>
      </w:tabs>
    </w:pPr>
  </w:style>
  <w:style w:type="character" w:customStyle="1" w:styleId="En-tteCar2">
    <w:name w:val="En-tête Car2"/>
    <w:basedOn w:val="Policepardfaut"/>
    <w:link w:val="En-tte"/>
    <w:uiPriority w:val="99"/>
    <w:semiHidden/>
    <w:rsid w:val="00484A88"/>
    <w:rPr>
      <w:sz w:val="20"/>
      <w:szCs w:val="20"/>
    </w:rPr>
  </w:style>
  <w:style w:type="paragraph" w:customStyle="1" w:styleId="Titredetableau">
    <w:name w:val="Titre de tableau"/>
    <w:basedOn w:val="Contenudetableau"/>
    <w:uiPriority w:val="99"/>
    <w:rsid w:val="001A45CA"/>
    <w:pPr>
      <w:jc w:val="center"/>
    </w:pPr>
    <w:rPr>
      <w:b/>
      <w:bCs/>
    </w:rPr>
  </w:style>
  <w:style w:type="paragraph" w:styleId="NormalWeb">
    <w:name w:val="Normal (Web)"/>
    <w:basedOn w:val="Normal1"/>
    <w:uiPriority w:val="99"/>
    <w:rsid w:val="001A45CA"/>
    <w:pPr>
      <w:widowControl/>
      <w:suppressAutoHyphens w:val="0"/>
      <w:spacing w:before="280" w:after="280"/>
      <w:textAlignment w:val="auto"/>
    </w:pPr>
    <w:rPr>
      <w:rFonts w:eastAsia="Times New Roman"/>
      <w:lang w:eastAsia="fr-FR"/>
    </w:rPr>
  </w:style>
  <w:style w:type="paragraph" w:styleId="Notedebasdepage">
    <w:name w:val="footnote text"/>
    <w:basedOn w:val="Normal"/>
    <w:link w:val="NotedebasdepageCar"/>
    <w:uiPriority w:val="99"/>
    <w:semiHidden/>
    <w:rsid w:val="00BA2F79"/>
  </w:style>
  <w:style w:type="character" w:customStyle="1" w:styleId="FootnoteTextChar1">
    <w:name w:val="Footnote Text Char1"/>
    <w:basedOn w:val="Policepardfaut"/>
    <w:uiPriority w:val="99"/>
    <w:semiHidden/>
    <w:rsid w:val="00484A88"/>
    <w:rPr>
      <w:sz w:val="20"/>
      <w:szCs w:val="20"/>
    </w:rPr>
  </w:style>
  <w:style w:type="table" w:styleId="Grilledutableau">
    <w:name w:val="Table Grid"/>
    <w:basedOn w:val="TableauNormal"/>
    <w:uiPriority w:val="99"/>
    <w:rsid w:val="001A45C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Normal"/>
    <w:uiPriority w:val="99"/>
    <w:rsid w:val="00EA05A2"/>
    <w:rPr>
      <w:rFonts w:eastAsia="Calibri"/>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1786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558</Words>
  <Characters>3059</Characters>
  <Application>Microsoft Office Word</Application>
  <DocSecurity>0</DocSecurity>
  <Lines>25</Lines>
  <Paragraphs>7</Paragraphs>
  <ScaleCrop>false</ScaleCrop>
  <Company>MSS</Company>
  <LinksUpToDate>false</LinksUpToDate>
  <CharactersWithSpaces>3610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R.V. (DDCS) </cp:lastModifiedBy>
  <cp:revision>3</cp:revision>
  <cp:lastPrinted>2015-05-27T07:28:00Z</cp:lastPrinted>
  <dcterms:created xsi:type="dcterms:W3CDTF">2017-11-09T09:43:00Z</dcterms:created>
  <dcterms:modified xsi:type="dcterms:W3CDTF">2017-11-09T09:46:00Z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MSS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