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1551B4">
        <w:rPr>
          <w:rFonts w:ascii="Verdana" w:hAnsi="Verdana" w:cs="Verdana"/>
          <w:b/>
          <w:bCs/>
          <w:color w:val="17365D" w:themeColor="text2" w:themeShade="BF"/>
          <w:sz w:val="28"/>
          <w:szCs w:val="28"/>
        </w:rPr>
        <w:t>AT2.2</w:t>
      </w:r>
      <w:r w:rsidR="00725081">
        <w:rPr>
          <w:rFonts w:ascii="Verdana" w:hAnsi="Verdana" w:cs="Verdana"/>
          <w:b/>
          <w:bCs/>
          <w:color w:val="17365D" w:themeColor="text2" w:themeShade="BF"/>
          <w:sz w:val="28"/>
          <w:szCs w:val="28"/>
        </w:rPr>
        <w:t xml:space="preserve"> </w:t>
      </w:r>
      <w:r w:rsidR="00725081" w:rsidRPr="00617FC3">
        <w:rPr>
          <w:rFonts w:ascii="Verdana" w:hAnsi="Verdana" w:cs="Verdana"/>
          <w:b/>
          <w:bCs/>
          <w:i/>
          <w:color w:val="17365D" w:themeColor="text2" w:themeShade="BF"/>
          <w:sz w:val="16"/>
          <w:szCs w:val="16"/>
        </w:rPr>
        <w:t>(version 2017)</w:t>
      </w:r>
    </w:p>
    <w:p w:rsidR="00382101" w:rsidRPr="003C58D3" w:rsidRDefault="10E49BAF" w:rsidP="10E49BAF">
      <w:pPr>
        <w:pStyle w:val="WW-Standard"/>
        <w:shd w:val="clear" w:color="auto" w:fill="1F497D" w:themeFill="text2"/>
        <w:spacing w:after="57"/>
        <w:jc w:val="center"/>
        <w:rPr>
          <w:rFonts w:ascii="Verdana" w:hAnsi="Verdana" w:cs="Verdana"/>
          <w:b/>
          <w:bCs/>
          <w:color w:val="FFFFFF"/>
          <w:sz w:val="28"/>
          <w:szCs w:val="28"/>
        </w:rPr>
      </w:pPr>
      <w:r w:rsidRPr="10E49BAF">
        <w:rPr>
          <w:rFonts w:ascii="Verdana" w:eastAsia="Verdana" w:hAnsi="Verdana" w:cs="Verdana"/>
          <w:b/>
          <w:bCs/>
          <w:color w:val="FFFFFF" w:themeColor="background1"/>
          <w:sz w:val="28"/>
          <w:szCs w:val="28"/>
        </w:rPr>
        <w:t>ACCROITRE LES MOBILITES SOCIALE, GEOGRAPHIQUE, EUROPEENNE</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tblPr>
      <w:tblGrid>
        <w:gridCol w:w="2518"/>
        <w:gridCol w:w="8363"/>
      </w:tblGrid>
      <w:tr w:rsidR="00611755" w:rsidRPr="00243AF9" w:rsidTr="0084691C">
        <w:trPr>
          <w:trHeight w:val="754"/>
        </w:trPr>
        <w:tc>
          <w:tcPr>
            <w:tcW w:w="2518" w:type="dxa"/>
            <w:shd w:val="clear" w:color="auto" w:fill="B8CCE4"/>
            <w:vAlign w:val="center"/>
          </w:tcPr>
          <w:p w:rsidR="005F0153" w:rsidRPr="00243AF9" w:rsidRDefault="00434E32" w:rsidP="00BE4175">
            <w:pPr>
              <w:pStyle w:val="TableContents"/>
              <w:rPr>
                <w:rFonts w:ascii="Verdana" w:hAnsi="Verdana" w:cs="Verdana"/>
                <w:b/>
                <w:bCs/>
                <w:color w:val="1F497D"/>
                <w:sz w:val="20"/>
                <w:szCs w:val="20"/>
              </w:rPr>
            </w:pPr>
            <w:r>
              <w:rPr>
                <w:rFonts w:ascii="Verdana" w:hAnsi="Verdana" w:cs="Verdana"/>
                <w:b/>
                <w:bCs/>
                <w:color w:val="1F497D"/>
                <w:sz w:val="20"/>
                <w:szCs w:val="20"/>
              </w:rPr>
              <w:t>Axe transversal</w:t>
            </w:r>
          </w:p>
        </w:tc>
        <w:tc>
          <w:tcPr>
            <w:tcW w:w="8363" w:type="dxa"/>
            <w:shd w:val="clear" w:color="auto" w:fill="B8CCE4"/>
            <w:vAlign w:val="center"/>
          </w:tcPr>
          <w:p w:rsidR="00611755" w:rsidRPr="00405EFC" w:rsidRDefault="00806B91" w:rsidP="00C048D6">
            <w:pPr>
              <w:pStyle w:val="TableContents"/>
              <w:rPr>
                <w:rFonts w:ascii="Verdana" w:hAnsi="Verdana" w:cs="Verdana"/>
                <w:b/>
                <w:bCs/>
                <w:color w:val="1F497D"/>
                <w:sz w:val="20"/>
                <w:szCs w:val="20"/>
              </w:rPr>
            </w:pPr>
            <w:r>
              <w:rPr>
                <w:rFonts w:ascii="Verdana" w:hAnsi="Verdana" w:cs="Verdana"/>
                <w:b/>
                <w:bCs/>
                <w:color w:val="1F497D"/>
                <w:sz w:val="20"/>
                <w:szCs w:val="20"/>
              </w:rPr>
              <w:t>Enjeu</w:t>
            </w:r>
            <w:r w:rsidR="00C048D6">
              <w:rPr>
                <w:rFonts w:ascii="Verdana" w:hAnsi="Verdana" w:cs="Verdana"/>
                <w:b/>
                <w:bCs/>
                <w:color w:val="1F497D"/>
                <w:sz w:val="20"/>
                <w:szCs w:val="20"/>
              </w:rPr>
              <w:t> transversal</w:t>
            </w:r>
            <w:r>
              <w:rPr>
                <w:rFonts w:ascii="Verdana" w:hAnsi="Verdana" w:cs="Verdana"/>
                <w:b/>
                <w:bCs/>
                <w:color w:val="1F497D"/>
                <w:sz w:val="20"/>
                <w:szCs w:val="20"/>
              </w:rPr>
              <w:t> </w:t>
            </w:r>
            <w:r w:rsidR="00E97B77">
              <w:rPr>
                <w:rFonts w:ascii="Verdana" w:hAnsi="Verdana" w:cs="Verdana"/>
                <w:b/>
                <w:bCs/>
                <w:color w:val="1F497D"/>
                <w:sz w:val="20"/>
                <w:szCs w:val="20"/>
              </w:rPr>
              <w:t>Jeunesse</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tblPr>
      <w:tblGrid>
        <w:gridCol w:w="2491"/>
        <w:gridCol w:w="8363"/>
      </w:tblGrid>
      <w:tr w:rsidR="00611755" w:rsidRPr="00BA0956" w:rsidTr="10E49BAF">
        <w:trPr>
          <w:trHeight w:val="150"/>
        </w:trPr>
        <w:tc>
          <w:tcPr>
            <w:tcW w:w="2491" w:type="dxa"/>
            <w:shd w:val="clear" w:color="auto" w:fill="B8CCE4" w:themeFill="accent1" w:themeFillTint="66"/>
          </w:tcPr>
          <w:p w:rsidR="00611755" w:rsidRPr="00BA0956" w:rsidRDefault="00611755" w:rsidP="00611755">
            <w:pPr>
              <w:pStyle w:val="TableContents"/>
              <w:snapToGrid w:val="0"/>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 xml:space="preserve">Contexte </w:t>
            </w:r>
          </w:p>
          <w:p w:rsidR="00611755" w:rsidRPr="00BA0956" w:rsidRDefault="00611755" w:rsidP="00611755">
            <w:pPr>
              <w:pStyle w:val="TableContents"/>
              <w:snapToGrid w:val="0"/>
              <w:spacing w:before="120" w:after="120"/>
              <w:ind w:left="71" w:right="-10"/>
              <w:rPr>
                <w:rFonts w:ascii="Verdana" w:hAnsi="Verdana" w:cs="Verdana"/>
                <w:bCs/>
                <w:i/>
                <w:color w:val="1F497D"/>
                <w:sz w:val="20"/>
                <w:szCs w:val="20"/>
              </w:rPr>
            </w:pPr>
          </w:p>
        </w:tc>
        <w:tc>
          <w:tcPr>
            <w:tcW w:w="8363" w:type="dxa"/>
            <w:shd w:val="clear" w:color="auto" w:fill="B8CCE4" w:themeFill="accent1" w:themeFillTint="66"/>
          </w:tcPr>
          <w:p w:rsidR="0084691C" w:rsidRPr="00BA0956" w:rsidRDefault="0084691C" w:rsidP="0084691C">
            <w:pPr>
              <w:pStyle w:val="TableContents"/>
              <w:numPr>
                <w:ilvl w:val="0"/>
                <w:numId w:val="7"/>
              </w:numPr>
              <w:snapToGrid w:val="0"/>
              <w:spacing w:before="120" w:after="120"/>
              <w:ind w:right="-10"/>
              <w:rPr>
                <w:rFonts w:ascii="Verdana" w:hAnsi="Verdana" w:cs="Verdana"/>
                <w:bCs/>
                <w:color w:val="1F497D"/>
                <w:sz w:val="20"/>
                <w:szCs w:val="20"/>
              </w:rPr>
            </w:pPr>
            <w:r w:rsidRPr="00BA0956">
              <w:rPr>
                <w:rFonts w:ascii="Verdana" w:hAnsi="Verdana" w:cs="Verdana"/>
                <w:bCs/>
                <w:color w:val="1F497D"/>
                <w:sz w:val="20"/>
                <w:szCs w:val="20"/>
              </w:rPr>
              <w:t>Les partenaires ont retenu la définition d’une intervention prioritaire pour un public jeune allant de 11 à 25 ans et l’intérêt d’aborder la thématique jeunesse selon la notion de parcours. Une vigilance toute particulière devra être portée aux jeunes restants à l’écart des dynamiques existantes</w:t>
            </w:r>
          </w:p>
          <w:p w:rsidR="0084691C" w:rsidRPr="00BA0956" w:rsidRDefault="0084691C" w:rsidP="0084691C">
            <w:pPr>
              <w:pStyle w:val="TableContents"/>
              <w:numPr>
                <w:ilvl w:val="0"/>
                <w:numId w:val="7"/>
              </w:numPr>
              <w:spacing w:before="120" w:after="120"/>
              <w:jc w:val="both"/>
              <w:rPr>
                <w:rFonts w:ascii="Verdana" w:hAnsi="Verdana" w:cs="Verdana"/>
                <w:bCs/>
                <w:color w:val="1F497D"/>
                <w:sz w:val="20"/>
                <w:szCs w:val="20"/>
              </w:rPr>
            </w:pPr>
            <w:r w:rsidRPr="00BA0956">
              <w:rPr>
                <w:rFonts w:ascii="Verdana" w:hAnsi="Verdana" w:cs="Verdana"/>
                <w:bCs/>
                <w:color w:val="1F497D"/>
                <w:sz w:val="20"/>
                <w:szCs w:val="20"/>
              </w:rPr>
              <w:t>Toutes les villes impliquées dans le contrat de ville s’impliquent sur des projets pour la jeunesse portées par les services jeunesse, par le programme de réussite éducative et /ou en lien avec les établissements scolaires, ou encore à travers les actions développées par les centres sociaux et associations locales.</w:t>
            </w:r>
          </w:p>
          <w:p w:rsidR="0084691C" w:rsidRPr="00BA0956" w:rsidRDefault="342AA3C4" w:rsidP="342AA3C4">
            <w:pPr>
              <w:pStyle w:val="TableContents"/>
              <w:numPr>
                <w:ilvl w:val="0"/>
                <w:numId w:val="7"/>
              </w:numPr>
              <w:spacing w:before="120" w:after="120"/>
              <w:jc w:val="both"/>
              <w:rPr>
                <w:rFonts w:ascii="Verdana" w:hAnsi="Verdana" w:cs="Verdana"/>
                <w:bCs/>
                <w:color w:val="1F497D"/>
                <w:sz w:val="20"/>
                <w:szCs w:val="20"/>
              </w:rPr>
            </w:pPr>
            <w:r w:rsidRPr="00BA0956">
              <w:rPr>
                <w:rFonts w:ascii="Verdana" w:eastAsia="Verdana" w:hAnsi="Verdana" w:cs="Verdana"/>
                <w:color w:val="1F497D" w:themeColor="text2"/>
                <w:sz w:val="20"/>
                <w:szCs w:val="20"/>
              </w:rPr>
              <w:t xml:space="preserve">La mobilité est un enjeu important dans la lutte contre les inégalités sociales. Elle doit s’entendre dans les différentes acceptions : sociale, géographique, européenne et internationale. Toute ouverture vers </w:t>
            </w:r>
            <w:r w:rsidRPr="00BA0956">
              <w:rPr>
                <w:rFonts w:ascii="Verdana" w:hAnsi="Verdana" w:cs="Verdana"/>
                <w:bCs/>
                <w:color w:val="1F497D"/>
                <w:sz w:val="20"/>
                <w:szCs w:val="20"/>
              </w:rPr>
              <w:t>l’extérieur doit être recherchée à travers cet axe.</w:t>
            </w:r>
          </w:p>
          <w:p w:rsidR="0084691C" w:rsidRPr="00BA0956" w:rsidRDefault="342AA3C4" w:rsidP="342AA3C4">
            <w:pPr>
              <w:pStyle w:val="TableContents"/>
              <w:numPr>
                <w:ilvl w:val="0"/>
                <w:numId w:val="7"/>
              </w:numPr>
              <w:spacing w:before="120" w:after="120"/>
              <w:jc w:val="both"/>
              <w:rPr>
                <w:rFonts w:ascii="Verdana" w:eastAsia="Verdana" w:hAnsi="Verdana" w:cs="Verdana"/>
                <w:bCs/>
                <w:color w:val="1F497D"/>
                <w:sz w:val="20"/>
                <w:szCs w:val="20"/>
              </w:rPr>
            </w:pPr>
            <w:r w:rsidRPr="00BA0956">
              <w:rPr>
                <w:rFonts w:ascii="Verdana" w:hAnsi="Verdana" w:cs="Verdana"/>
                <w:bCs/>
                <w:color w:val="1F497D"/>
                <w:sz w:val="20"/>
                <w:szCs w:val="20"/>
              </w:rPr>
              <w:t>Nombreux sont les jeunes, ainsi que les publics en insertion, qui à un moment de leur parcours sont confrontés à une contrainte de mobilité, il peut s'agir de problème financier, d'une difficulté liée au logement, au déplacement... mais il a été souvent observé une difficulté d'ordre psychologique.</w:t>
            </w:r>
          </w:p>
        </w:tc>
      </w:tr>
      <w:tr w:rsidR="00611755" w:rsidRPr="00BA0956" w:rsidTr="10E49BAF">
        <w:trPr>
          <w:trHeight w:val="142"/>
        </w:trPr>
        <w:tc>
          <w:tcPr>
            <w:tcW w:w="2491" w:type="dxa"/>
            <w:shd w:val="clear" w:color="auto" w:fill="B8CCE4" w:themeFill="accent1" w:themeFillTint="66"/>
          </w:tcPr>
          <w:p w:rsidR="00611755" w:rsidRPr="00BA0956" w:rsidRDefault="00611755"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Objectifs et dynamiques</w:t>
            </w:r>
          </w:p>
          <w:p w:rsidR="00611755" w:rsidRPr="00BA0956" w:rsidRDefault="005F0153" w:rsidP="00EA393D">
            <w:pPr>
              <w:pStyle w:val="TableContents"/>
              <w:autoSpaceDN w:val="0"/>
              <w:spacing w:before="120" w:after="120"/>
              <w:jc w:val="both"/>
              <w:rPr>
                <w:rFonts w:ascii="Verdana" w:hAnsi="Verdana" w:cs="Arial"/>
                <w:i/>
                <w:color w:val="1F497D"/>
                <w:sz w:val="20"/>
                <w:szCs w:val="20"/>
              </w:rPr>
            </w:pPr>
            <w:r w:rsidRPr="00BA0956">
              <w:rPr>
                <w:rFonts w:ascii="Verdana" w:hAnsi="Verdana" w:cs="Arial"/>
                <w:i/>
                <w:color w:val="1F497D"/>
                <w:sz w:val="20"/>
                <w:szCs w:val="20"/>
              </w:rPr>
              <w:t xml:space="preserve"> </w:t>
            </w:r>
          </w:p>
        </w:tc>
        <w:tc>
          <w:tcPr>
            <w:tcW w:w="8363" w:type="dxa"/>
            <w:shd w:val="clear" w:color="auto" w:fill="B8CCE4" w:themeFill="accent1" w:themeFillTint="66"/>
          </w:tcPr>
          <w:p w:rsidR="00611755" w:rsidRPr="00BA0956" w:rsidRDefault="0084691C" w:rsidP="0084691C">
            <w:pPr>
              <w:pStyle w:val="TableContents"/>
              <w:numPr>
                <w:ilvl w:val="0"/>
                <w:numId w:val="7"/>
              </w:numPr>
              <w:spacing w:before="120" w:after="120"/>
              <w:jc w:val="both"/>
              <w:rPr>
                <w:rFonts w:ascii="Verdana" w:hAnsi="Verdana" w:cs="Arial"/>
                <w:color w:val="1F497D"/>
                <w:sz w:val="20"/>
                <w:szCs w:val="20"/>
              </w:rPr>
            </w:pPr>
            <w:r w:rsidRPr="00BA0956">
              <w:rPr>
                <w:rFonts w:ascii="Verdana" w:hAnsi="Verdana" w:cs="Arial"/>
                <w:color w:val="1F497D"/>
                <w:sz w:val="20"/>
                <w:szCs w:val="20"/>
              </w:rPr>
              <w:t>Mieux comprendre les dynamiques à l’œuvre aujourd’hui en matière de mobilité, au regard des dispositifs existants</w:t>
            </w:r>
          </w:p>
          <w:p w:rsidR="0084691C" w:rsidRPr="00BA0956" w:rsidRDefault="0084691C" w:rsidP="0084691C">
            <w:pPr>
              <w:pStyle w:val="TableContents"/>
              <w:numPr>
                <w:ilvl w:val="0"/>
                <w:numId w:val="7"/>
              </w:numPr>
              <w:spacing w:before="120" w:after="120"/>
              <w:jc w:val="both"/>
              <w:rPr>
                <w:rFonts w:ascii="Verdana" w:hAnsi="Verdana" w:cs="Arial"/>
                <w:color w:val="1F497D"/>
                <w:sz w:val="20"/>
                <w:szCs w:val="20"/>
              </w:rPr>
            </w:pPr>
            <w:r w:rsidRPr="00BA0956">
              <w:rPr>
                <w:rFonts w:ascii="Verdana" w:hAnsi="Verdana" w:cs="Arial"/>
                <w:color w:val="1F497D"/>
                <w:sz w:val="20"/>
                <w:szCs w:val="20"/>
              </w:rPr>
              <w:t>Comprendre et analyser les freins</w:t>
            </w:r>
          </w:p>
          <w:p w:rsidR="0084691C" w:rsidRPr="00BA0956" w:rsidRDefault="342AA3C4" w:rsidP="342AA3C4">
            <w:pPr>
              <w:pStyle w:val="TableContents"/>
              <w:numPr>
                <w:ilvl w:val="0"/>
                <w:numId w:val="7"/>
              </w:numPr>
              <w:spacing w:before="120" w:after="120"/>
              <w:jc w:val="both"/>
              <w:rPr>
                <w:rFonts w:ascii="Verdana" w:eastAsia="Verdana,Arial" w:hAnsi="Verdana" w:cs="Verdana,Arial"/>
                <w:color w:val="1F497D"/>
                <w:sz w:val="20"/>
                <w:szCs w:val="20"/>
              </w:rPr>
            </w:pPr>
            <w:r w:rsidRPr="00BA0956">
              <w:rPr>
                <w:rFonts w:ascii="Verdana" w:eastAsia="Verdana,Arial" w:hAnsi="Verdana" w:cs="Verdana,Arial"/>
                <w:color w:val="1F497D" w:themeColor="text2"/>
                <w:sz w:val="20"/>
                <w:szCs w:val="20"/>
              </w:rPr>
              <w:t>Inciter au développement de nouvelles pratiques</w:t>
            </w:r>
          </w:p>
          <w:p w:rsidR="0084691C" w:rsidRPr="00BA0956" w:rsidRDefault="0084691C" w:rsidP="00BA0956">
            <w:pPr>
              <w:pStyle w:val="TableContents"/>
              <w:spacing w:before="120" w:after="120"/>
              <w:jc w:val="both"/>
              <w:rPr>
                <w:rFonts w:ascii="Verdana" w:eastAsia="Verdana,Arial" w:hAnsi="Verdana" w:cs="Verdana,Arial"/>
                <w:color w:val="1F497D"/>
                <w:sz w:val="20"/>
                <w:szCs w:val="20"/>
              </w:rPr>
            </w:pPr>
          </w:p>
        </w:tc>
      </w:tr>
      <w:tr w:rsidR="00611755" w:rsidRPr="00BA0956" w:rsidTr="10E49BAF">
        <w:trPr>
          <w:trHeight w:val="170"/>
        </w:trPr>
        <w:tc>
          <w:tcPr>
            <w:tcW w:w="2491" w:type="dxa"/>
            <w:shd w:val="clear" w:color="auto" w:fill="B8CCE4" w:themeFill="accent1" w:themeFillTint="66"/>
          </w:tcPr>
          <w:p w:rsidR="005F0153" w:rsidRPr="00BA0956" w:rsidRDefault="00611755"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 xml:space="preserve">Réalisations attendues </w:t>
            </w:r>
          </w:p>
          <w:p w:rsidR="00611755" w:rsidRPr="00BA0956" w:rsidRDefault="00611755" w:rsidP="005F0153">
            <w:pPr>
              <w:pStyle w:val="TableContents"/>
              <w:spacing w:before="120" w:after="120"/>
              <w:ind w:left="71" w:right="-10"/>
              <w:rPr>
                <w:rFonts w:ascii="Verdana" w:hAnsi="Verdana" w:cs="Verdana"/>
                <w:b/>
                <w:bCs/>
                <w:color w:val="1F497D"/>
                <w:sz w:val="20"/>
                <w:szCs w:val="20"/>
              </w:rPr>
            </w:pPr>
          </w:p>
        </w:tc>
        <w:tc>
          <w:tcPr>
            <w:tcW w:w="8363" w:type="dxa"/>
            <w:shd w:val="clear" w:color="auto" w:fill="B8CCE4" w:themeFill="accent1" w:themeFillTint="66"/>
          </w:tcPr>
          <w:p w:rsidR="0084691C" w:rsidRPr="00BA0956" w:rsidRDefault="0084691C" w:rsidP="00EA393D">
            <w:pPr>
              <w:pStyle w:val="TableContents"/>
              <w:numPr>
                <w:ilvl w:val="0"/>
                <w:numId w:val="7"/>
              </w:numPr>
              <w:spacing w:before="120" w:after="120"/>
              <w:jc w:val="both"/>
              <w:rPr>
                <w:rFonts w:ascii="Verdana" w:hAnsi="Verdana" w:cs="Verdana"/>
                <w:bCs/>
                <w:color w:val="1F497D"/>
                <w:sz w:val="20"/>
                <w:szCs w:val="20"/>
              </w:rPr>
            </w:pPr>
            <w:r w:rsidRPr="00BA0956">
              <w:rPr>
                <w:rFonts w:ascii="Verdana" w:hAnsi="Verdana" w:cs="Verdana"/>
                <w:bCs/>
                <w:color w:val="1F497D"/>
                <w:sz w:val="20"/>
                <w:szCs w:val="20"/>
              </w:rPr>
              <w:t xml:space="preserve">Analyse des pratiques existantes sur les quartiers (usages de jeunes, actions en place, acteurs moteur…) et identification des freins et leviers de mobilité. </w:t>
            </w:r>
          </w:p>
          <w:p w:rsidR="0084691C" w:rsidRPr="00BA0956" w:rsidRDefault="342AA3C4" w:rsidP="00EA393D">
            <w:pPr>
              <w:pStyle w:val="TableContents"/>
              <w:numPr>
                <w:ilvl w:val="0"/>
                <w:numId w:val="7"/>
              </w:numPr>
              <w:spacing w:before="120" w:after="120"/>
              <w:jc w:val="both"/>
              <w:rPr>
                <w:rFonts w:ascii="Verdana" w:hAnsi="Verdana" w:cs="Verdana"/>
                <w:bCs/>
                <w:color w:val="1F497D"/>
                <w:sz w:val="20"/>
                <w:szCs w:val="20"/>
              </w:rPr>
            </w:pPr>
            <w:r w:rsidRPr="00BA0956">
              <w:rPr>
                <w:rFonts w:ascii="Verdana" w:hAnsi="Verdana" w:cs="Verdana"/>
                <w:bCs/>
                <w:color w:val="1F497D"/>
                <w:sz w:val="20"/>
                <w:szCs w:val="20"/>
              </w:rPr>
              <w:t>Développer des actions innovantes permettant de favoriser de nouveaux modes d’engagement des jeunes</w:t>
            </w:r>
          </w:p>
          <w:p w:rsidR="342AA3C4" w:rsidRPr="00BA0956" w:rsidRDefault="342AA3C4" w:rsidP="00EA393D">
            <w:pPr>
              <w:pStyle w:val="TableContents"/>
              <w:numPr>
                <w:ilvl w:val="0"/>
                <w:numId w:val="7"/>
              </w:numPr>
              <w:spacing w:before="120" w:after="120"/>
              <w:jc w:val="both"/>
              <w:rPr>
                <w:rFonts w:ascii="Verdana" w:hAnsi="Verdana" w:cs="Verdana"/>
                <w:bCs/>
                <w:color w:val="1F497D"/>
                <w:sz w:val="20"/>
                <w:szCs w:val="20"/>
              </w:rPr>
            </w:pPr>
            <w:r w:rsidRPr="00BA0956">
              <w:rPr>
                <w:rFonts w:ascii="Verdana" w:hAnsi="Verdana" w:cs="Verdana"/>
                <w:bCs/>
                <w:color w:val="1F497D"/>
                <w:sz w:val="20"/>
                <w:szCs w:val="20"/>
              </w:rPr>
              <w:t>Informer et former les différents professionnels qui interviennent auprès des jeunes des quartiers sur les questions de mobilité, leur permettre d'identifier des structures ressources</w:t>
            </w:r>
          </w:p>
          <w:p w:rsidR="00611755" w:rsidRPr="00725081" w:rsidRDefault="342AA3C4" w:rsidP="00725081">
            <w:pPr>
              <w:pStyle w:val="TableContents"/>
              <w:numPr>
                <w:ilvl w:val="0"/>
                <w:numId w:val="7"/>
              </w:numPr>
              <w:spacing w:before="120" w:after="120"/>
              <w:jc w:val="both"/>
              <w:rPr>
                <w:rFonts w:ascii="Verdana" w:eastAsia="Verdana,Arial" w:hAnsi="Verdana" w:cs="Verdana,Arial"/>
                <w:color w:val="1F497D" w:themeColor="text2"/>
                <w:sz w:val="20"/>
                <w:szCs w:val="20"/>
              </w:rPr>
            </w:pPr>
            <w:r w:rsidRPr="00BA0956">
              <w:rPr>
                <w:rFonts w:ascii="Verdana" w:hAnsi="Verdana" w:cs="Verdana"/>
                <w:bCs/>
                <w:color w:val="1F497D"/>
                <w:sz w:val="20"/>
                <w:szCs w:val="20"/>
              </w:rPr>
              <w:t>Développer des actions pour appréhender la question de la mobilité dès l'âge du collège pour permettre aux jeunes des quartiers d'être plus mobile pendant leurs études ou dans leur vie professionnelle.</w:t>
            </w:r>
          </w:p>
        </w:tc>
      </w:tr>
      <w:tr w:rsidR="00611755" w:rsidRPr="00BA0956" w:rsidTr="10E49BAF">
        <w:tc>
          <w:tcPr>
            <w:tcW w:w="2491" w:type="dxa"/>
            <w:shd w:val="clear" w:color="auto" w:fill="B8CCE4" w:themeFill="accent1" w:themeFillTint="66"/>
          </w:tcPr>
          <w:p w:rsidR="005F0153" w:rsidRPr="00BA0956" w:rsidRDefault="00611755"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 xml:space="preserve">Effets attendus </w:t>
            </w:r>
          </w:p>
          <w:p w:rsidR="00611755" w:rsidRPr="00BA0956" w:rsidRDefault="00611755" w:rsidP="005F0153">
            <w:pPr>
              <w:pStyle w:val="TableContents"/>
              <w:spacing w:before="120" w:after="120"/>
              <w:ind w:left="71" w:right="-10"/>
              <w:rPr>
                <w:rFonts w:ascii="Verdana" w:hAnsi="Verdana" w:cs="Verdana"/>
                <w:bCs/>
                <w:i/>
                <w:color w:val="1F497D"/>
                <w:sz w:val="20"/>
                <w:szCs w:val="20"/>
              </w:rPr>
            </w:pPr>
          </w:p>
        </w:tc>
        <w:tc>
          <w:tcPr>
            <w:tcW w:w="8363" w:type="dxa"/>
            <w:shd w:val="clear" w:color="auto" w:fill="B8CCE4" w:themeFill="accent1" w:themeFillTint="66"/>
          </w:tcPr>
          <w:p w:rsidR="00611755" w:rsidRPr="00BA0956" w:rsidRDefault="10E49BAF" w:rsidP="342AA3C4">
            <w:pPr>
              <w:pStyle w:val="TableContents"/>
              <w:numPr>
                <w:ilvl w:val="0"/>
                <w:numId w:val="9"/>
              </w:numPr>
              <w:spacing w:before="120" w:after="120"/>
              <w:rPr>
                <w:rFonts w:ascii="Verdana" w:hAnsi="Verdana" w:cs="Verdana"/>
                <w:bCs/>
                <w:color w:val="1F497D"/>
                <w:sz w:val="20"/>
                <w:szCs w:val="20"/>
              </w:rPr>
            </w:pPr>
            <w:r w:rsidRPr="00BA0956">
              <w:rPr>
                <w:rFonts w:ascii="Verdana" w:hAnsi="Verdana" w:cs="Verdana"/>
                <w:bCs/>
                <w:color w:val="1F497D"/>
                <w:sz w:val="20"/>
                <w:szCs w:val="20"/>
              </w:rPr>
              <w:t>Développer la mixité des publics au sein des territoires</w:t>
            </w:r>
          </w:p>
          <w:p w:rsidR="0084691C" w:rsidRPr="00BA0956" w:rsidRDefault="64367035" w:rsidP="64367035">
            <w:pPr>
              <w:pStyle w:val="TableContents"/>
              <w:numPr>
                <w:ilvl w:val="0"/>
                <w:numId w:val="9"/>
              </w:numPr>
              <w:spacing w:before="120" w:after="120"/>
              <w:rPr>
                <w:rFonts w:ascii="Verdana" w:hAnsi="Verdana" w:cs="Verdana"/>
                <w:bCs/>
                <w:color w:val="1F497D"/>
                <w:sz w:val="20"/>
                <w:szCs w:val="20"/>
              </w:rPr>
            </w:pPr>
            <w:r w:rsidRPr="00BA0956">
              <w:rPr>
                <w:rFonts w:ascii="Verdana" w:hAnsi="Verdana" w:cs="Verdana"/>
                <w:bCs/>
                <w:color w:val="1F497D"/>
                <w:sz w:val="20"/>
                <w:szCs w:val="20"/>
              </w:rPr>
              <w:t>Développer la mobilité des jeunes en dehors de leur territoire de résidence</w:t>
            </w:r>
          </w:p>
          <w:p w:rsidR="0084691C" w:rsidRPr="00BA0956" w:rsidRDefault="64367035" w:rsidP="64367035">
            <w:pPr>
              <w:pStyle w:val="TableContents"/>
              <w:numPr>
                <w:ilvl w:val="0"/>
                <w:numId w:val="9"/>
              </w:numPr>
              <w:spacing w:before="120" w:after="120"/>
              <w:rPr>
                <w:rFonts w:ascii="Verdana" w:eastAsia="Verdana,Arial" w:hAnsi="Verdana" w:cs="Verdana,Arial"/>
                <w:color w:val="1F497D"/>
                <w:sz w:val="20"/>
                <w:szCs w:val="20"/>
              </w:rPr>
            </w:pPr>
            <w:r w:rsidRPr="00BA0956">
              <w:rPr>
                <w:rFonts w:ascii="Verdana" w:hAnsi="Verdana" w:cs="Verdana"/>
                <w:bCs/>
                <w:color w:val="1F497D"/>
                <w:sz w:val="20"/>
                <w:szCs w:val="20"/>
              </w:rPr>
              <w:t>Favoriser l'émergence d'actions communes entre structures jeunesse</w:t>
            </w:r>
          </w:p>
        </w:tc>
      </w:tr>
      <w:tr w:rsidR="00611755" w:rsidRPr="00BA0956" w:rsidTr="10E49BAF">
        <w:tc>
          <w:tcPr>
            <w:tcW w:w="2491" w:type="dxa"/>
            <w:shd w:val="clear" w:color="auto" w:fill="B8CCE4" w:themeFill="accent1" w:themeFillTint="66"/>
          </w:tcPr>
          <w:p w:rsidR="00611755" w:rsidRPr="00BA0956" w:rsidRDefault="00611755"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Echelle Territoriale</w:t>
            </w:r>
          </w:p>
          <w:p w:rsidR="00611755" w:rsidRPr="00BA0956" w:rsidRDefault="00611755" w:rsidP="00611755">
            <w:pPr>
              <w:pStyle w:val="TableContents"/>
              <w:spacing w:before="120" w:after="120"/>
              <w:ind w:left="71" w:right="-10"/>
              <w:rPr>
                <w:rFonts w:ascii="Verdana" w:hAnsi="Verdana" w:cs="Verdana"/>
                <w:bCs/>
                <w:i/>
                <w:color w:val="1F497D"/>
                <w:sz w:val="20"/>
                <w:szCs w:val="20"/>
              </w:rPr>
            </w:pPr>
          </w:p>
        </w:tc>
        <w:tc>
          <w:tcPr>
            <w:tcW w:w="8363" w:type="dxa"/>
            <w:shd w:val="clear" w:color="auto" w:fill="B8CCE4" w:themeFill="accent1" w:themeFillTint="66"/>
          </w:tcPr>
          <w:p w:rsidR="0084691C" w:rsidRPr="00BA0956" w:rsidRDefault="64367035" w:rsidP="00EA393D">
            <w:pPr>
              <w:pStyle w:val="TableContents"/>
              <w:numPr>
                <w:ilvl w:val="0"/>
                <w:numId w:val="9"/>
              </w:numPr>
              <w:spacing w:before="120" w:after="120"/>
              <w:rPr>
                <w:rFonts w:ascii="Verdana" w:hAnsi="Verdana" w:cs="Verdana"/>
                <w:bCs/>
                <w:color w:val="1F497D"/>
                <w:sz w:val="20"/>
                <w:szCs w:val="20"/>
              </w:rPr>
            </w:pPr>
            <w:r w:rsidRPr="00BA0956">
              <w:rPr>
                <w:rFonts w:ascii="Verdana" w:hAnsi="Verdana" w:cs="Verdana"/>
                <w:bCs/>
                <w:color w:val="1F497D"/>
                <w:sz w:val="20"/>
                <w:szCs w:val="20"/>
              </w:rPr>
              <w:t>A l’échelle de l’agglomération pour la cohérence générale des dynamiques développée</w:t>
            </w:r>
            <w:r w:rsidR="00524EC4">
              <w:rPr>
                <w:rFonts w:ascii="Verdana" w:hAnsi="Verdana" w:cs="Verdana"/>
                <w:bCs/>
                <w:color w:val="1F497D"/>
                <w:sz w:val="20"/>
                <w:szCs w:val="20"/>
              </w:rPr>
              <w:t>s</w:t>
            </w:r>
          </w:p>
          <w:p w:rsidR="0084691C" w:rsidRPr="00BA0956" w:rsidRDefault="0084691C" w:rsidP="00EA393D">
            <w:pPr>
              <w:pStyle w:val="TableContents"/>
              <w:numPr>
                <w:ilvl w:val="0"/>
                <w:numId w:val="9"/>
              </w:numPr>
              <w:spacing w:before="120" w:after="120"/>
              <w:rPr>
                <w:rFonts w:ascii="Verdana" w:hAnsi="Verdana" w:cs="Arial"/>
                <w:color w:val="1F497D"/>
                <w:sz w:val="20"/>
                <w:szCs w:val="20"/>
              </w:rPr>
            </w:pPr>
            <w:r w:rsidRPr="00BA0956">
              <w:rPr>
                <w:rFonts w:ascii="Verdana" w:hAnsi="Verdana" w:cs="Verdana"/>
                <w:bCs/>
                <w:color w:val="1F497D"/>
                <w:sz w:val="20"/>
                <w:szCs w:val="20"/>
              </w:rPr>
              <w:t>A l’échelle de chaque quartier pour les actions spécifiques développées</w:t>
            </w:r>
          </w:p>
        </w:tc>
      </w:tr>
      <w:tr w:rsidR="00611755" w:rsidRPr="00BA0956" w:rsidTr="10E49BAF">
        <w:tc>
          <w:tcPr>
            <w:tcW w:w="2491" w:type="dxa"/>
            <w:shd w:val="clear" w:color="auto" w:fill="B8CCE4" w:themeFill="accent1" w:themeFillTint="66"/>
          </w:tcPr>
          <w:p w:rsidR="00611755" w:rsidRPr="00BA0956" w:rsidRDefault="00D87FB9"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Animateur</w:t>
            </w:r>
          </w:p>
          <w:p w:rsidR="00611755" w:rsidRPr="00BA0956" w:rsidRDefault="00611755" w:rsidP="00611755">
            <w:pPr>
              <w:pStyle w:val="TableContents"/>
              <w:spacing w:before="120" w:after="120"/>
              <w:ind w:left="71" w:right="-10"/>
              <w:rPr>
                <w:rFonts w:ascii="Verdana" w:hAnsi="Verdana" w:cs="Verdana"/>
                <w:bCs/>
                <w:i/>
                <w:color w:val="1F497D"/>
                <w:sz w:val="20"/>
                <w:szCs w:val="20"/>
              </w:rPr>
            </w:pPr>
          </w:p>
        </w:tc>
        <w:tc>
          <w:tcPr>
            <w:tcW w:w="8363" w:type="dxa"/>
            <w:shd w:val="clear" w:color="auto" w:fill="B8CCE4" w:themeFill="accent1" w:themeFillTint="66"/>
          </w:tcPr>
          <w:p w:rsidR="00611755" w:rsidRPr="00BA0956" w:rsidRDefault="0084691C" w:rsidP="00611755">
            <w:pPr>
              <w:pStyle w:val="TableContents"/>
              <w:spacing w:before="120" w:after="120"/>
              <w:jc w:val="both"/>
              <w:rPr>
                <w:rFonts w:ascii="Verdana" w:hAnsi="Verdana" w:cs="Arial"/>
                <w:color w:val="1F497D"/>
                <w:sz w:val="20"/>
                <w:szCs w:val="20"/>
              </w:rPr>
            </w:pPr>
            <w:r w:rsidRPr="00BA0956">
              <w:rPr>
                <w:rFonts w:ascii="Verdana" w:hAnsi="Verdana" w:cs="Arial"/>
                <w:color w:val="1F497D"/>
                <w:sz w:val="20"/>
                <w:szCs w:val="20"/>
              </w:rPr>
              <w:lastRenderedPageBreak/>
              <w:t>Tour(s)plus</w:t>
            </w:r>
          </w:p>
          <w:p w:rsidR="0084691C" w:rsidRPr="00BA0956" w:rsidRDefault="0084691C" w:rsidP="00611755">
            <w:pPr>
              <w:pStyle w:val="TableContents"/>
              <w:spacing w:before="120" w:after="120"/>
              <w:jc w:val="both"/>
              <w:rPr>
                <w:rFonts w:ascii="Verdana" w:hAnsi="Verdana" w:cs="Arial"/>
                <w:color w:val="1F497D"/>
                <w:sz w:val="20"/>
                <w:szCs w:val="20"/>
              </w:rPr>
            </w:pPr>
            <w:r w:rsidRPr="00BA0956">
              <w:rPr>
                <w:rFonts w:ascii="Verdana" w:hAnsi="Verdana" w:cs="Arial"/>
                <w:color w:val="1F497D"/>
                <w:sz w:val="20"/>
                <w:szCs w:val="20"/>
              </w:rPr>
              <w:lastRenderedPageBreak/>
              <w:t>villes</w:t>
            </w:r>
          </w:p>
        </w:tc>
      </w:tr>
      <w:tr w:rsidR="00611755" w:rsidRPr="00BA0956" w:rsidTr="10E49BAF">
        <w:trPr>
          <w:trHeight w:val="95"/>
        </w:trPr>
        <w:tc>
          <w:tcPr>
            <w:tcW w:w="2491" w:type="dxa"/>
            <w:shd w:val="clear" w:color="auto" w:fill="B8CCE4" w:themeFill="accent1" w:themeFillTint="66"/>
          </w:tcPr>
          <w:p w:rsidR="00611755" w:rsidRPr="00BA0956" w:rsidRDefault="00611755"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lastRenderedPageBreak/>
              <w:t>Partenaires mobilisables (dont habitants)</w:t>
            </w:r>
          </w:p>
          <w:p w:rsidR="00611755" w:rsidRPr="00BA0956" w:rsidRDefault="00611755"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Dispositifs mobilisables</w:t>
            </w:r>
          </w:p>
          <w:p w:rsidR="00611755" w:rsidRPr="00BA0956" w:rsidRDefault="00611755" w:rsidP="00EA393D">
            <w:pPr>
              <w:pStyle w:val="TableContents"/>
              <w:spacing w:before="120" w:after="120"/>
              <w:ind w:right="-10"/>
              <w:rPr>
                <w:rFonts w:ascii="Verdana" w:hAnsi="Verdana" w:cs="Verdana"/>
                <w:bCs/>
                <w:i/>
                <w:color w:val="1F497D"/>
                <w:sz w:val="20"/>
                <w:szCs w:val="20"/>
              </w:rPr>
            </w:pPr>
          </w:p>
        </w:tc>
        <w:tc>
          <w:tcPr>
            <w:tcW w:w="8363" w:type="dxa"/>
            <w:shd w:val="clear" w:color="auto" w:fill="B8CCE4" w:themeFill="accent1" w:themeFillTint="66"/>
          </w:tcPr>
          <w:p w:rsidR="0084691C" w:rsidRPr="00BA0956" w:rsidRDefault="342AA3C4" w:rsidP="00EA393D">
            <w:pPr>
              <w:pStyle w:val="TableContents"/>
              <w:spacing w:before="120" w:after="120"/>
              <w:rPr>
                <w:rFonts w:ascii="Verdana" w:hAnsi="Verdana" w:cs="Verdana"/>
                <w:bCs/>
                <w:color w:val="1F497D"/>
                <w:sz w:val="20"/>
                <w:szCs w:val="20"/>
              </w:rPr>
            </w:pPr>
            <w:r w:rsidRPr="00BA0956">
              <w:rPr>
                <w:rFonts w:ascii="Verdana" w:hAnsi="Verdana" w:cs="Verdana"/>
                <w:bCs/>
                <w:color w:val="1F497D"/>
                <w:sz w:val="20"/>
                <w:szCs w:val="20"/>
                <w:u w:val="single"/>
              </w:rPr>
              <w:t>Partenaires mobilisables</w:t>
            </w:r>
            <w:r w:rsidRPr="00BA0956">
              <w:rPr>
                <w:rFonts w:ascii="Verdana" w:hAnsi="Verdana" w:cs="Verdana"/>
                <w:bCs/>
                <w:color w:val="1F497D"/>
                <w:sz w:val="20"/>
                <w:szCs w:val="20"/>
              </w:rPr>
              <w:t> : DRJCSC, DDCS, Services jeunesses, BIJ et PIJ, CIO, Mission locale, Centres sociaux, éducateurs spécialisés, porteurs de volontariat international, Compagnons Bâtisseurs…</w:t>
            </w:r>
          </w:p>
          <w:p w:rsidR="00EA393D" w:rsidRPr="00BA0956" w:rsidRDefault="00524EC4" w:rsidP="00EA393D">
            <w:pPr>
              <w:pStyle w:val="TableContents"/>
              <w:spacing w:before="120" w:after="120"/>
              <w:rPr>
                <w:rFonts w:ascii="Verdana" w:hAnsi="Verdana" w:cs="Verdana"/>
                <w:bCs/>
                <w:color w:val="1F497D"/>
                <w:sz w:val="20"/>
                <w:szCs w:val="20"/>
              </w:rPr>
            </w:pPr>
            <w:r>
              <w:rPr>
                <w:rFonts w:ascii="Verdana" w:hAnsi="Verdana" w:cs="Verdana"/>
                <w:bCs/>
                <w:color w:val="1F497D"/>
                <w:sz w:val="20"/>
                <w:szCs w:val="20"/>
              </w:rPr>
              <w:t>Maison de l’Europe</w:t>
            </w:r>
          </w:p>
          <w:p w:rsidR="0084691C" w:rsidRPr="00BA0956" w:rsidRDefault="0084691C" w:rsidP="00EA393D">
            <w:pPr>
              <w:pStyle w:val="TableContents"/>
              <w:spacing w:before="120" w:after="120"/>
              <w:rPr>
                <w:rFonts w:ascii="Verdana" w:hAnsi="Verdana" w:cs="Verdana"/>
                <w:bCs/>
                <w:color w:val="1F497D"/>
                <w:sz w:val="20"/>
                <w:szCs w:val="20"/>
                <w:u w:val="single"/>
              </w:rPr>
            </w:pPr>
            <w:r w:rsidRPr="00BA0956">
              <w:rPr>
                <w:rFonts w:ascii="Verdana" w:hAnsi="Verdana" w:cs="Verdana"/>
                <w:bCs/>
                <w:color w:val="1F497D"/>
                <w:sz w:val="20"/>
                <w:szCs w:val="20"/>
                <w:u w:val="single"/>
              </w:rPr>
              <w:t>Dispositifs mobilisables :</w:t>
            </w:r>
          </w:p>
          <w:p w:rsidR="0084691C" w:rsidRPr="00BA0956" w:rsidRDefault="0084691C" w:rsidP="00EA393D">
            <w:pPr>
              <w:pStyle w:val="TableContents"/>
              <w:numPr>
                <w:ilvl w:val="0"/>
                <w:numId w:val="9"/>
              </w:numPr>
              <w:spacing w:before="120" w:after="120"/>
              <w:rPr>
                <w:rFonts w:ascii="Verdana" w:hAnsi="Verdana" w:cs="Verdana"/>
                <w:bCs/>
                <w:color w:val="1F497D"/>
                <w:sz w:val="20"/>
                <w:szCs w:val="20"/>
              </w:rPr>
            </w:pPr>
            <w:r w:rsidRPr="00BA0956">
              <w:rPr>
                <w:rFonts w:ascii="Verdana" w:hAnsi="Verdana" w:cs="Verdana"/>
                <w:bCs/>
                <w:color w:val="1F497D"/>
                <w:sz w:val="20"/>
                <w:szCs w:val="20"/>
              </w:rPr>
              <w:t>Le plan territorial jeunesse</w:t>
            </w:r>
          </w:p>
          <w:p w:rsidR="0084691C" w:rsidRPr="00BA0956" w:rsidRDefault="0084691C" w:rsidP="00EA393D">
            <w:pPr>
              <w:pStyle w:val="TableContents"/>
              <w:numPr>
                <w:ilvl w:val="0"/>
                <w:numId w:val="9"/>
              </w:numPr>
              <w:spacing w:before="120" w:after="120"/>
              <w:rPr>
                <w:rFonts w:ascii="Verdana" w:hAnsi="Verdana" w:cs="Verdana"/>
                <w:bCs/>
                <w:color w:val="1F497D"/>
                <w:sz w:val="20"/>
                <w:szCs w:val="20"/>
              </w:rPr>
            </w:pPr>
            <w:r w:rsidRPr="00BA0956">
              <w:rPr>
                <w:rFonts w:ascii="Verdana" w:hAnsi="Verdana" w:cs="Verdana"/>
                <w:bCs/>
                <w:color w:val="1F497D"/>
                <w:sz w:val="20"/>
                <w:szCs w:val="20"/>
              </w:rPr>
              <w:t>Déclinaison locale du plan « priorité jeunesse »</w:t>
            </w:r>
          </w:p>
          <w:p w:rsidR="0084691C" w:rsidRPr="00BA0956" w:rsidRDefault="0084691C" w:rsidP="00EA393D">
            <w:pPr>
              <w:pStyle w:val="TableContents"/>
              <w:numPr>
                <w:ilvl w:val="0"/>
                <w:numId w:val="9"/>
              </w:numPr>
              <w:spacing w:before="120" w:after="120"/>
              <w:rPr>
                <w:rFonts w:ascii="Verdana" w:hAnsi="Verdana" w:cs="Verdana"/>
                <w:bCs/>
                <w:color w:val="1F497D"/>
                <w:sz w:val="20"/>
                <w:szCs w:val="20"/>
              </w:rPr>
            </w:pPr>
            <w:r w:rsidRPr="00BA0956">
              <w:rPr>
                <w:rFonts w:ascii="Verdana" w:hAnsi="Verdana" w:cs="Verdana"/>
                <w:bCs/>
                <w:color w:val="1F497D"/>
                <w:sz w:val="20"/>
                <w:szCs w:val="20"/>
              </w:rPr>
              <w:t>CPER 2015-2020 dans son volet territorial, en lien avec la formation professionnelle et l’emploi</w:t>
            </w:r>
          </w:p>
          <w:p w:rsidR="00611755" w:rsidRDefault="0084691C" w:rsidP="00EA393D">
            <w:pPr>
              <w:pStyle w:val="TableContents"/>
              <w:numPr>
                <w:ilvl w:val="0"/>
                <w:numId w:val="9"/>
              </w:numPr>
              <w:spacing w:before="120" w:after="120"/>
              <w:rPr>
                <w:rFonts w:ascii="Verdana" w:hAnsi="Verdana" w:cs="Verdana"/>
                <w:bCs/>
                <w:color w:val="1F497D"/>
                <w:sz w:val="20"/>
                <w:szCs w:val="20"/>
              </w:rPr>
            </w:pPr>
            <w:r w:rsidRPr="00BA0956">
              <w:rPr>
                <w:rFonts w:ascii="Verdana" w:hAnsi="Verdana" w:cs="Verdana"/>
                <w:bCs/>
                <w:color w:val="1F497D"/>
                <w:sz w:val="20"/>
                <w:szCs w:val="20"/>
              </w:rPr>
              <w:t>Le service public régional d’orientation</w:t>
            </w:r>
          </w:p>
          <w:p w:rsidR="00524EC4" w:rsidRDefault="00524EC4" w:rsidP="00EA393D">
            <w:pPr>
              <w:pStyle w:val="TableContents"/>
              <w:numPr>
                <w:ilvl w:val="0"/>
                <w:numId w:val="9"/>
              </w:numPr>
              <w:spacing w:before="120" w:after="120"/>
              <w:rPr>
                <w:rFonts w:ascii="Verdana" w:hAnsi="Verdana" w:cs="Verdana"/>
                <w:bCs/>
                <w:color w:val="1F497D"/>
                <w:sz w:val="20"/>
                <w:szCs w:val="20"/>
              </w:rPr>
            </w:pPr>
            <w:r>
              <w:rPr>
                <w:rFonts w:ascii="Verdana" w:hAnsi="Verdana" w:cs="Verdana"/>
                <w:bCs/>
                <w:color w:val="1F497D"/>
                <w:sz w:val="20"/>
                <w:szCs w:val="20"/>
              </w:rPr>
              <w:t>Le service civique : accueil d’étrangers et missions à l’étranger, réciprocité avec l’Allemagne, binômes SVE/SC …</w:t>
            </w:r>
          </w:p>
          <w:p w:rsidR="00524EC4" w:rsidRDefault="00524EC4" w:rsidP="00524EC4">
            <w:pPr>
              <w:pStyle w:val="TableContents"/>
              <w:numPr>
                <w:ilvl w:val="0"/>
                <w:numId w:val="9"/>
              </w:numPr>
              <w:spacing w:before="120" w:after="120"/>
              <w:rPr>
                <w:rFonts w:ascii="Verdana" w:hAnsi="Verdana" w:cs="Verdana"/>
                <w:bCs/>
                <w:color w:val="1F497D"/>
                <w:sz w:val="20"/>
                <w:szCs w:val="20"/>
              </w:rPr>
            </w:pPr>
            <w:r>
              <w:rPr>
                <w:rFonts w:ascii="Verdana" w:hAnsi="Verdana" w:cs="Verdana"/>
                <w:bCs/>
                <w:color w:val="1F497D"/>
                <w:sz w:val="20"/>
                <w:szCs w:val="20"/>
              </w:rPr>
              <w:t>Le SVE (accueil et départ)</w:t>
            </w:r>
          </w:p>
          <w:p w:rsidR="00524EC4" w:rsidRPr="00BA0956" w:rsidRDefault="00524EC4" w:rsidP="00524EC4">
            <w:pPr>
              <w:pStyle w:val="TableContents"/>
              <w:numPr>
                <w:ilvl w:val="0"/>
                <w:numId w:val="9"/>
              </w:numPr>
              <w:spacing w:before="120" w:after="120"/>
              <w:rPr>
                <w:rFonts w:ascii="Verdana" w:hAnsi="Verdana" w:cs="Verdana"/>
                <w:bCs/>
                <w:color w:val="1F497D"/>
                <w:sz w:val="20"/>
                <w:szCs w:val="20"/>
              </w:rPr>
            </w:pPr>
            <w:r>
              <w:rPr>
                <w:rFonts w:ascii="Verdana" w:hAnsi="Verdana" w:cs="Verdana"/>
                <w:bCs/>
                <w:color w:val="1F497D"/>
                <w:sz w:val="20"/>
                <w:szCs w:val="20"/>
              </w:rPr>
              <w:t>Les chantiers de jeunes bénévoles internationaux (pour l’accueil d’étrangers et pour le départ à l’étranger)</w:t>
            </w:r>
          </w:p>
        </w:tc>
      </w:tr>
      <w:tr w:rsidR="00611755" w:rsidRPr="00BA0956" w:rsidTr="10E49BAF">
        <w:tc>
          <w:tcPr>
            <w:tcW w:w="2491" w:type="dxa"/>
            <w:shd w:val="clear" w:color="auto" w:fill="B8CCE4" w:themeFill="accent1" w:themeFillTint="66"/>
          </w:tcPr>
          <w:p w:rsidR="00611755" w:rsidRPr="00BA0956" w:rsidRDefault="00611755"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Financements mobilisables</w:t>
            </w:r>
          </w:p>
          <w:p w:rsidR="00611755" w:rsidRPr="00BA0956" w:rsidRDefault="00611755" w:rsidP="00EA393D">
            <w:pPr>
              <w:pStyle w:val="TableContents"/>
              <w:spacing w:before="120" w:after="120"/>
              <w:ind w:right="-10"/>
              <w:rPr>
                <w:rFonts w:ascii="Verdana" w:hAnsi="Verdana" w:cs="Verdana"/>
                <w:b/>
                <w:bCs/>
                <w:color w:val="1F497D"/>
                <w:sz w:val="20"/>
                <w:szCs w:val="20"/>
              </w:rPr>
            </w:pPr>
          </w:p>
        </w:tc>
        <w:tc>
          <w:tcPr>
            <w:tcW w:w="8363" w:type="dxa"/>
            <w:shd w:val="clear" w:color="auto" w:fill="B8CCE4" w:themeFill="accent1" w:themeFillTint="66"/>
          </w:tcPr>
          <w:p w:rsidR="0084691C" w:rsidRPr="00BA0956" w:rsidRDefault="0084691C" w:rsidP="0084691C">
            <w:pPr>
              <w:pStyle w:val="TableContents"/>
              <w:spacing w:before="120" w:after="120"/>
              <w:rPr>
                <w:rFonts w:ascii="Verdana" w:hAnsi="Verdana" w:cs="Arial"/>
                <w:color w:val="1F497D"/>
                <w:sz w:val="20"/>
                <w:szCs w:val="20"/>
                <w:u w:val="single"/>
              </w:rPr>
            </w:pPr>
            <w:r w:rsidRPr="00BA0956">
              <w:rPr>
                <w:rFonts w:ascii="Verdana" w:hAnsi="Verdana" w:cs="Arial"/>
                <w:color w:val="1F497D"/>
                <w:sz w:val="20"/>
                <w:szCs w:val="20"/>
                <w:u w:val="single"/>
              </w:rPr>
              <w:t>Financement de droit commun</w:t>
            </w:r>
          </w:p>
          <w:p w:rsidR="0084691C" w:rsidRPr="00BA0956" w:rsidRDefault="0084691C" w:rsidP="0084691C">
            <w:pPr>
              <w:pStyle w:val="TableContents"/>
              <w:spacing w:before="120" w:after="120"/>
              <w:rPr>
                <w:rFonts w:ascii="Verdana" w:hAnsi="Verdana" w:cs="Arial"/>
                <w:color w:val="1F497D"/>
                <w:sz w:val="20"/>
                <w:szCs w:val="20"/>
              </w:rPr>
            </w:pPr>
          </w:p>
          <w:p w:rsidR="00611755" w:rsidRPr="00BA0956" w:rsidRDefault="0084691C" w:rsidP="0084691C">
            <w:pPr>
              <w:pStyle w:val="TableContents"/>
              <w:spacing w:before="120" w:after="120"/>
              <w:rPr>
                <w:rFonts w:ascii="Verdana" w:hAnsi="Verdana" w:cs="Arial"/>
                <w:color w:val="1F497D"/>
                <w:sz w:val="20"/>
                <w:szCs w:val="20"/>
              </w:rPr>
            </w:pPr>
            <w:r w:rsidRPr="00BA0956">
              <w:rPr>
                <w:rFonts w:ascii="Verdana" w:hAnsi="Verdana" w:cs="Arial"/>
                <w:color w:val="1F497D"/>
                <w:sz w:val="20"/>
                <w:szCs w:val="20"/>
                <w:u w:val="single"/>
              </w:rPr>
              <w:t>Financement spécifique</w:t>
            </w:r>
          </w:p>
        </w:tc>
      </w:tr>
      <w:tr w:rsidR="00611755" w:rsidRPr="00BA0956" w:rsidTr="10E49BAF">
        <w:trPr>
          <w:trHeight w:val="272"/>
        </w:trPr>
        <w:tc>
          <w:tcPr>
            <w:tcW w:w="2491" w:type="dxa"/>
            <w:shd w:val="clear" w:color="auto" w:fill="B8CCE4" w:themeFill="accent1" w:themeFillTint="66"/>
          </w:tcPr>
          <w:p w:rsidR="00611755" w:rsidRPr="00BA0956" w:rsidRDefault="00611755" w:rsidP="00EA393D">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Calendrier</w:t>
            </w:r>
          </w:p>
        </w:tc>
        <w:tc>
          <w:tcPr>
            <w:tcW w:w="8363" w:type="dxa"/>
            <w:shd w:val="clear" w:color="auto" w:fill="B8CCE4" w:themeFill="accent1" w:themeFillTint="66"/>
          </w:tcPr>
          <w:p w:rsidR="00611755" w:rsidRPr="00BA0956" w:rsidRDefault="0084691C" w:rsidP="00611755">
            <w:pPr>
              <w:pStyle w:val="TableContents"/>
              <w:spacing w:before="120" w:after="120"/>
              <w:jc w:val="both"/>
              <w:rPr>
                <w:rFonts w:ascii="Verdana" w:hAnsi="Verdana" w:cs="Arial"/>
                <w:color w:val="1F497D"/>
                <w:sz w:val="20"/>
                <w:szCs w:val="20"/>
              </w:rPr>
            </w:pPr>
            <w:r w:rsidRPr="00BA0956">
              <w:rPr>
                <w:rFonts w:ascii="Verdana" w:hAnsi="Verdana" w:cs="Arial"/>
                <w:color w:val="1F497D"/>
                <w:sz w:val="20"/>
                <w:szCs w:val="20"/>
              </w:rPr>
              <w:t>Tout au long du contrat de ville</w:t>
            </w:r>
          </w:p>
        </w:tc>
      </w:tr>
      <w:tr w:rsidR="005F0153" w:rsidRPr="00BA0956" w:rsidTr="10E49BAF">
        <w:tc>
          <w:tcPr>
            <w:tcW w:w="2491" w:type="dxa"/>
            <w:shd w:val="clear" w:color="auto" w:fill="B8CCE4" w:themeFill="accent1" w:themeFillTint="66"/>
          </w:tcPr>
          <w:p w:rsidR="005F0153" w:rsidRPr="00BA0956" w:rsidRDefault="005F0153" w:rsidP="005F0153">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indicateurs de réalisation</w:t>
            </w:r>
          </w:p>
          <w:p w:rsidR="005F0153" w:rsidRPr="00BA0956" w:rsidRDefault="005F0153" w:rsidP="00D87FB9">
            <w:pPr>
              <w:pStyle w:val="TableContents"/>
              <w:spacing w:before="120" w:after="120"/>
              <w:ind w:left="71" w:right="-10"/>
              <w:rPr>
                <w:rFonts w:ascii="Verdana" w:hAnsi="Verdana" w:cs="Verdana"/>
                <w:b/>
                <w:bCs/>
                <w:color w:val="1F497D"/>
                <w:sz w:val="20"/>
                <w:szCs w:val="20"/>
              </w:rPr>
            </w:pPr>
          </w:p>
        </w:tc>
        <w:tc>
          <w:tcPr>
            <w:tcW w:w="8363" w:type="dxa"/>
            <w:shd w:val="clear" w:color="auto" w:fill="B8CCE4" w:themeFill="accent1" w:themeFillTint="66"/>
          </w:tcPr>
          <w:p w:rsidR="0084691C" w:rsidRPr="00BA0956" w:rsidRDefault="0084691C" w:rsidP="0084691C">
            <w:pPr>
              <w:pStyle w:val="TableContents"/>
              <w:numPr>
                <w:ilvl w:val="0"/>
                <w:numId w:val="8"/>
              </w:numPr>
              <w:autoSpaceDN w:val="0"/>
              <w:spacing w:before="120" w:after="120"/>
              <w:jc w:val="both"/>
              <w:rPr>
                <w:rFonts w:ascii="Verdana" w:hAnsi="Verdana" w:cs="Arial"/>
                <w:color w:val="1F497D"/>
                <w:sz w:val="20"/>
                <w:szCs w:val="20"/>
              </w:rPr>
            </w:pPr>
            <w:r w:rsidRPr="00BA0956">
              <w:rPr>
                <w:rFonts w:ascii="Verdana" w:hAnsi="Verdana" w:cs="Verdana"/>
                <w:bCs/>
                <w:color w:val="1F497D"/>
                <w:sz w:val="20"/>
                <w:szCs w:val="20"/>
              </w:rPr>
              <w:t xml:space="preserve">Résultat de l’analyse des pratiques existantes sur les quartiers </w:t>
            </w:r>
          </w:p>
          <w:p w:rsidR="0084691C" w:rsidRPr="00BA0956" w:rsidRDefault="0084691C" w:rsidP="0084691C">
            <w:pPr>
              <w:pStyle w:val="TableContents"/>
              <w:numPr>
                <w:ilvl w:val="0"/>
                <w:numId w:val="8"/>
              </w:numPr>
              <w:autoSpaceDN w:val="0"/>
              <w:spacing w:before="120" w:after="120"/>
              <w:jc w:val="both"/>
              <w:rPr>
                <w:rFonts w:ascii="Verdana" w:hAnsi="Verdana" w:cs="Arial"/>
                <w:color w:val="1F497D"/>
                <w:sz w:val="20"/>
                <w:szCs w:val="20"/>
              </w:rPr>
            </w:pPr>
            <w:r w:rsidRPr="00BA0956">
              <w:rPr>
                <w:rFonts w:ascii="Verdana" w:hAnsi="Verdana" w:cs="Verdana"/>
                <w:bCs/>
                <w:color w:val="1F497D"/>
                <w:sz w:val="20"/>
                <w:szCs w:val="20"/>
              </w:rPr>
              <w:t>Nombre d‘action</w:t>
            </w:r>
            <w:r w:rsidR="00BA0956">
              <w:rPr>
                <w:rFonts w:ascii="Verdana" w:hAnsi="Verdana" w:cs="Verdana"/>
                <w:bCs/>
                <w:color w:val="1F497D"/>
                <w:sz w:val="20"/>
                <w:szCs w:val="20"/>
              </w:rPr>
              <w:t>s</w:t>
            </w:r>
            <w:bookmarkStart w:id="0" w:name="_GoBack"/>
            <w:bookmarkEnd w:id="0"/>
            <w:r w:rsidRPr="00BA0956">
              <w:rPr>
                <w:rFonts w:ascii="Verdana" w:hAnsi="Verdana" w:cs="Verdana"/>
                <w:bCs/>
                <w:color w:val="1F497D"/>
                <w:sz w:val="20"/>
                <w:szCs w:val="20"/>
              </w:rPr>
              <w:t xml:space="preserve"> développées</w:t>
            </w:r>
          </w:p>
          <w:p w:rsidR="0084691C" w:rsidRPr="00BA0956" w:rsidRDefault="0084691C" w:rsidP="0084691C">
            <w:pPr>
              <w:pStyle w:val="TableContents"/>
              <w:numPr>
                <w:ilvl w:val="0"/>
                <w:numId w:val="8"/>
              </w:numPr>
              <w:autoSpaceDN w:val="0"/>
              <w:spacing w:before="120" w:after="120"/>
              <w:jc w:val="both"/>
              <w:rPr>
                <w:rFonts w:ascii="Verdana" w:hAnsi="Verdana" w:cs="Arial"/>
                <w:color w:val="1F497D"/>
                <w:sz w:val="20"/>
                <w:szCs w:val="20"/>
              </w:rPr>
            </w:pPr>
            <w:r w:rsidRPr="00BA0956">
              <w:rPr>
                <w:rFonts w:ascii="Verdana" w:hAnsi="Verdana" w:cs="Verdana"/>
                <w:bCs/>
                <w:color w:val="1F497D"/>
                <w:sz w:val="20"/>
                <w:szCs w:val="20"/>
              </w:rPr>
              <w:t>Publics mobilisés</w:t>
            </w:r>
          </w:p>
          <w:p w:rsidR="005F0153" w:rsidRPr="00524EC4" w:rsidRDefault="0084691C" w:rsidP="0084691C">
            <w:pPr>
              <w:pStyle w:val="TableContents"/>
              <w:numPr>
                <w:ilvl w:val="0"/>
                <w:numId w:val="8"/>
              </w:numPr>
              <w:autoSpaceDN w:val="0"/>
              <w:spacing w:before="120" w:after="120"/>
              <w:jc w:val="both"/>
              <w:rPr>
                <w:rFonts w:ascii="Verdana" w:hAnsi="Verdana" w:cs="Arial"/>
                <w:color w:val="1F497D"/>
                <w:sz w:val="20"/>
                <w:szCs w:val="20"/>
              </w:rPr>
            </w:pPr>
            <w:r w:rsidRPr="00BA0956">
              <w:rPr>
                <w:rFonts w:ascii="Verdana" w:hAnsi="Verdana" w:cs="Verdana"/>
                <w:bCs/>
                <w:color w:val="1F497D"/>
                <w:sz w:val="20"/>
                <w:szCs w:val="20"/>
              </w:rPr>
              <w:t>Types de mobilités développées</w:t>
            </w:r>
          </w:p>
          <w:p w:rsidR="00524EC4" w:rsidRPr="00BA0956" w:rsidRDefault="00524EC4" w:rsidP="0084691C">
            <w:pPr>
              <w:pStyle w:val="TableContents"/>
              <w:numPr>
                <w:ilvl w:val="0"/>
                <w:numId w:val="8"/>
              </w:numPr>
              <w:autoSpaceDN w:val="0"/>
              <w:spacing w:before="120" w:after="120"/>
              <w:jc w:val="both"/>
              <w:rPr>
                <w:rFonts w:ascii="Verdana" w:hAnsi="Verdana" w:cs="Arial"/>
                <w:color w:val="1F497D"/>
                <w:sz w:val="20"/>
                <w:szCs w:val="20"/>
              </w:rPr>
            </w:pPr>
            <w:r>
              <w:rPr>
                <w:rFonts w:ascii="Verdana" w:hAnsi="Verdana" w:cs="Verdana"/>
                <w:bCs/>
                <w:color w:val="1F497D"/>
                <w:sz w:val="20"/>
                <w:szCs w:val="20"/>
              </w:rPr>
              <w:t>Nombre de formations suivies par les équipes éducatives</w:t>
            </w:r>
          </w:p>
        </w:tc>
      </w:tr>
      <w:tr w:rsidR="00D87FB9" w:rsidRPr="00BA0956" w:rsidTr="10E49BAF">
        <w:tc>
          <w:tcPr>
            <w:tcW w:w="2491" w:type="dxa"/>
            <w:shd w:val="clear" w:color="auto" w:fill="B8CCE4" w:themeFill="accent1" w:themeFillTint="66"/>
          </w:tcPr>
          <w:p w:rsidR="00D87FB9" w:rsidRPr="00BA0956" w:rsidRDefault="00D87FB9" w:rsidP="00D87FB9">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Indicateurs d’effets</w:t>
            </w:r>
          </w:p>
          <w:p w:rsidR="00D87FB9" w:rsidRPr="00BA0956" w:rsidRDefault="00D87FB9" w:rsidP="00D87FB9">
            <w:pPr>
              <w:pStyle w:val="TableContents"/>
              <w:spacing w:before="120" w:after="120"/>
              <w:ind w:left="71" w:right="-10"/>
              <w:rPr>
                <w:rFonts w:ascii="Verdana" w:hAnsi="Verdana" w:cs="Verdana"/>
                <w:b/>
                <w:bCs/>
                <w:color w:val="1F497D"/>
                <w:sz w:val="20"/>
                <w:szCs w:val="20"/>
              </w:rPr>
            </w:pPr>
          </w:p>
        </w:tc>
        <w:tc>
          <w:tcPr>
            <w:tcW w:w="8363" w:type="dxa"/>
            <w:shd w:val="clear" w:color="auto" w:fill="B8CCE4" w:themeFill="accent1" w:themeFillTint="66"/>
          </w:tcPr>
          <w:p w:rsidR="0084691C" w:rsidRPr="00BA0956" w:rsidRDefault="0084691C" w:rsidP="0084691C">
            <w:pPr>
              <w:pStyle w:val="TableContents"/>
              <w:numPr>
                <w:ilvl w:val="0"/>
                <w:numId w:val="9"/>
              </w:numPr>
              <w:spacing w:before="120" w:after="120"/>
              <w:rPr>
                <w:rFonts w:ascii="Verdana" w:hAnsi="Verdana" w:cs="Arial"/>
                <w:color w:val="1F497D"/>
                <w:sz w:val="20"/>
                <w:szCs w:val="20"/>
              </w:rPr>
            </w:pPr>
            <w:r w:rsidRPr="00BA0956">
              <w:rPr>
                <w:rFonts w:ascii="Verdana" w:hAnsi="Verdana" w:cs="Arial"/>
                <w:color w:val="1F497D"/>
                <w:sz w:val="20"/>
                <w:szCs w:val="20"/>
              </w:rPr>
              <w:t>Mixité des groupes au sein des actions</w:t>
            </w:r>
          </w:p>
          <w:p w:rsidR="0084691C" w:rsidRDefault="0084691C" w:rsidP="0084691C">
            <w:pPr>
              <w:pStyle w:val="TableContents"/>
              <w:numPr>
                <w:ilvl w:val="0"/>
                <w:numId w:val="9"/>
              </w:numPr>
              <w:spacing w:before="120" w:after="120"/>
              <w:rPr>
                <w:rFonts w:ascii="Verdana" w:hAnsi="Verdana" w:cs="Arial"/>
                <w:color w:val="1F497D"/>
                <w:sz w:val="20"/>
                <w:szCs w:val="20"/>
              </w:rPr>
            </w:pPr>
            <w:r w:rsidRPr="00BA0956">
              <w:rPr>
                <w:rFonts w:ascii="Verdana" w:hAnsi="Verdana" w:cs="Arial"/>
                <w:color w:val="1F497D"/>
                <w:sz w:val="20"/>
                <w:szCs w:val="20"/>
              </w:rPr>
              <w:t>Déplacement des jeunes sur d’autres territoires</w:t>
            </w:r>
          </w:p>
          <w:p w:rsidR="00524EC4" w:rsidRPr="00BA0956" w:rsidRDefault="00524EC4" w:rsidP="0084691C">
            <w:pPr>
              <w:pStyle w:val="TableContents"/>
              <w:numPr>
                <w:ilvl w:val="0"/>
                <w:numId w:val="9"/>
              </w:numPr>
              <w:spacing w:before="120" w:after="120"/>
              <w:rPr>
                <w:rFonts w:ascii="Verdana" w:hAnsi="Verdana" w:cs="Arial"/>
                <w:color w:val="1F497D"/>
                <w:sz w:val="20"/>
                <w:szCs w:val="20"/>
              </w:rPr>
            </w:pPr>
            <w:r>
              <w:rPr>
                <w:rFonts w:ascii="Verdana" w:hAnsi="Verdana" w:cs="Arial"/>
                <w:color w:val="1F497D"/>
                <w:sz w:val="20"/>
                <w:szCs w:val="20"/>
              </w:rPr>
              <w:t>Accueil et échanges avec des jeunes étrangers</w:t>
            </w:r>
          </w:p>
          <w:p w:rsidR="00D87FB9" w:rsidRPr="00BA0956" w:rsidRDefault="00D87FB9" w:rsidP="0084691C">
            <w:pPr>
              <w:spacing w:before="120" w:after="120"/>
              <w:jc w:val="both"/>
              <w:rPr>
                <w:rFonts w:ascii="Verdana" w:hAnsi="Verdana" w:cs="Arial"/>
                <w:color w:val="1F497D"/>
                <w:sz w:val="20"/>
                <w:szCs w:val="20"/>
              </w:rPr>
            </w:pPr>
          </w:p>
        </w:tc>
      </w:tr>
      <w:tr w:rsidR="00611755" w:rsidRPr="00BA0956" w:rsidTr="10E49BAF">
        <w:tc>
          <w:tcPr>
            <w:tcW w:w="2491" w:type="dxa"/>
            <w:shd w:val="clear" w:color="auto" w:fill="B8CCE4" w:themeFill="accent1" w:themeFillTint="66"/>
          </w:tcPr>
          <w:p w:rsidR="00611755" w:rsidRPr="00BA0956" w:rsidRDefault="00611755" w:rsidP="00611755">
            <w:pPr>
              <w:pStyle w:val="TableContents"/>
              <w:spacing w:before="120" w:after="120"/>
              <w:ind w:left="71" w:right="-10"/>
              <w:rPr>
                <w:rFonts w:ascii="Verdana" w:hAnsi="Verdana" w:cs="Verdana"/>
                <w:b/>
                <w:bCs/>
                <w:color w:val="1F497D"/>
                <w:sz w:val="20"/>
                <w:szCs w:val="20"/>
              </w:rPr>
            </w:pPr>
            <w:r w:rsidRPr="00BA0956">
              <w:rPr>
                <w:rFonts w:ascii="Verdana" w:hAnsi="Verdana" w:cs="Verdana"/>
                <w:b/>
                <w:bCs/>
                <w:color w:val="1F497D"/>
                <w:sz w:val="20"/>
                <w:szCs w:val="20"/>
              </w:rPr>
              <w:t>Liens autres enjeux / fiches « orientations opérationnelles »</w:t>
            </w:r>
          </w:p>
        </w:tc>
        <w:tc>
          <w:tcPr>
            <w:tcW w:w="8363" w:type="dxa"/>
            <w:shd w:val="clear" w:color="auto" w:fill="B8CCE4" w:themeFill="accent1" w:themeFillTint="66"/>
          </w:tcPr>
          <w:p w:rsidR="00611755" w:rsidRPr="00BA0956" w:rsidRDefault="00611755" w:rsidP="00611755">
            <w:pPr>
              <w:spacing w:before="120" w:after="120"/>
              <w:jc w:val="both"/>
              <w:rPr>
                <w:rFonts w:ascii="Verdana" w:hAnsi="Verdana" w:cs="Arial"/>
                <w:color w:val="1F497D"/>
                <w:sz w:val="20"/>
                <w:szCs w:val="20"/>
              </w:rPr>
            </w:pPr>
          </w:p>
        </w:tc>
      </w:tr>
    </w:tbl>
    <w:p w:rsidR="00611755" w:rsidRDefault="00611755" w:rsidP="008D57C0">
      <w:pPr>
        <w:pStyle w:val="WW-Standard"/>
        <w:tabs>
          <w:tab w:val="left" w:pos="5920"/>
        </w:tabs>
        <w:spacing w:after="57"/>
        <w:rPr>
          <w:rFonts w:ascii="Verdana" w:hAnsi="Verdana" w:cs="Verdana"/>
          <w:b/>
          <w:bCs/>
          <w:sz w:val="28"/>
          <w:szCs w:val="28"/>
        </w:rPr>
      </w:pPr>
    </w:p>
    <w:p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0"/>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66152813"/>
  <w15:commentEx w15:done="0" w15:paraId="668B04AE"/>
  <w15:commentEx w15:done="0" w15:paraId="0B8E2488"/>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48C" w:rsidRDefault="0082148C" w:rsidP="00A03715">
      <w:pPr>
        <w:pStyle w:val="TableContents"/>
      </w:pPr>
      <w:r>
        <w:separator/>
      </w:r>
    </w:p>
  </w:endnote>
  <w:endnote w:type="continuationSeparator" w:id="0">
    <w:p w:rsidR="0082148C" w:rsidRDefault="0082148C"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r w:rsidR="00725081">
      <w:rPr>
        <w:rFonts w:ascii="Verdana" w:hAnsi="Verdana" w:cs="Verdana"/>
        <w:sz w:val="16"/>
        <w:szCs w:val="16"/>
      </w:rPr>
      <w:t xml:space="preserve"> - </w:t>
    </w:r>
    <w:r>
      <w:rPr>
        <w:rFonts w:ascii="Verdana" w:hAnsi="Verdana" w:cs="Verdana"/>
        <w:sz w:val="16"/>
        <w:szCs w:val="16"/>
      </w:rPr>
      <w:t xml:space="preserve">Fiche </w:t>
    </w:r>
    <w:r w:rsidR="00D87FB9">
      <w:rPr>
        <w:rFonts w:ascii="Verdana" w:hAnsi="Verdana" w:cs="Verdana"/>
        <w:sz w:val="16"/>
        <w:szCs w:val="16"/>
      </w:rPr>
      <w:t>orientation opérationnelle</w:t>
    </w:r>
  </w:p>
  <w:p w:rsidR="00725081" w:rsidRDefault="00725081" w:rsidP="00973B15">
    <w:pPr>
      <w:pStyle w:val="Pieddepage"/>
      <w:widowControl/>
      <w:jc w:val="right"/>
    </w:pPr>
    <w:r>
      <w:rPr>
        <w:rFonts w:ascii="Verdana" w:hAnsi="Verdana" w:cs="Verdana"/>
        <w:sz w:val="16"/>
        <w:szCs w:val="16"/>
      </w:rPr>
      <w:t>Date de mise à jour : 15 novembre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48C" w:rsidRDefault="0082148C" w:rsidP="00A03715">
      <w:pPr>
        <w:pStyle w:val="TableContents"/>
      </w:pPr>
      <w:r>
        <w:separator/>
      </w:r>
    </w:p>
  </w:footnote>
  <w:footnote w:type="continuationSeparator" w:id="0">
    <w:p w:rsidR="0082148C" w:rsidRDefault="0082148C" w:rsidP="00A03715">
      <w:pPr>
        <w:pStyle w:val="TableContents"/>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FE62987"/>
    <w:multiLevelType w:val="hybridMultilevel"/>
    <w:tmpl w:val="97E829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7AA7732"/>
    <w:multiLevelType w:val="hybridMultilevel"/>
    <w:tmpl w:val="0DB2A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4E23A1"/>
    <w:multiLevelType w:val="hybridMultilevel"/>
    <w:tmpl w:val="AEAEEC32"/>
    <w:lvl w:ilvl="0" w:tplc="040C0001">
      <w:start w:val="1"/>
      <w:numFmt w:val="bullet"/>
      <w:lvlText w:val=""/>
      <w:lvlJc w:val="left"/>
      <w:pPr>
        <w:ind w:left="791" w:hanging="360"/>
      </w:pPr>
      <w:rPr>
        <w:rFonts w:ascii="Symbol" w:hAnsi="Symbo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FC5054E"/>
    <w:multiLevelType w:val="hybridMultilevel"/>
    <w:tmpl w:val="833E4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AA861DE"/>
    <w:multiLevelType w:val="hybridMultilevel"/>
    <w:tmpl w:val="A8A44458"/>
    <w:lvl w:ilvl="0" w:tplc="040C0001">
      <w:start w:val="1"/>
      <w:numFmt w:val="bullet"/>
      <w:lvlText w:val=""/>
      <w:lvlJc w:val="left"/>
      <w:pPr>
        <w:ind w:left="791" w:hanging="360"/>
      </w:pPr>
      <w:rPr>
        <w:rFonts w:ascii="Symbol" w:hAnsi="Symbo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num w:numId="1">
    <w:abstractNumId w:val="1"/>
  </w:num>
  <w:num w:numId="2">
    <w:abstractNumId w:val="2"/>
  </w:num>
  <w:num w:numId="3">
    <w:abstractNumId w:val="3"/>
  </w:num>
  <w:num w:numId="4">
    <w:abstractNumId w:val="7"/>
  </w:num>
  <w:num w:numId="5">
    <w:abstractNumId w:val="0"/>
  </w:num>
  <w:num w:numId="6">
    <w:abstractNumId w:val="9"/>
  </w:num>
  <w:num w:numId="7">
    <w:abstractNumId w:val="6"/>
  </w:num>
  <w:num w:numId="8">
    <w:abstractNumId w:val="4"/>
  </w:num>
  <w:num w:numId="9">
    <w:abstractNumId w:val="5"/>
  </w:num>
  <w:num w:numId="10">
    <w:abstractNumId w:val="8"/>
  </w:num>
</w:numbering>
</file>

<file path=word/people.xml><?xml version="1.0" encoding="utf-8"?>
<w15:people xmlns:mc="http://schemas.openxmlformats.org/markup-compatibility/2006" xmlns:w15="http://schemas.microsoft.com/office/word/2012/wordml" mc:Ignorable="w15">
  <w15:person w15:author="Marie-Lise AUBRY">
    <w15:presenceInfo w15:providerId="AD" w15:userId="10033FFF90E1CB29@LIVE.COM"/>
  </w15:person>
  <w15:person w15:author="Katia BLONDEAU">
    <w15:presenceInfo w15:providerId="AD" w15:userId="10037FFE90E4D55B@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15782"/>
    <w:rsid w:val="00031B19"/>
    <w:rsid w:val="00040CB0"/>
    <w:rsid w:val="000431FC"/>
    <w:rsid w:val="000966A5"/>
    <w:rsid w:val="000A3436"/>
    <w:rsid w:val="000A570C"/>
    <w:rsid w:val="000F355B"/>
    <w:rsid w:val="001327C8"/>
    <w:rsid w:val="00141401"/>
    <w:rsid w:val="001551B4"/>
    <w:rsid w:val="00157E13"/>
    <w:rsid w:val="0016489B"/>
    <w:rsid w:val="00172682"/>
    <w:rsid w:val="001B5930"/>
    <w:rsid w:val="001C466A"/>
    <w:rsid w:val="001C6A4A"/>
    <w:rsid w:val="00221F00"/>
    <w:rsid w:val="00233044"/>
    <w:rsid w:val="00243AF9"/>
    <w:rsid w:val="00251461"/>
    <w:rsid w:val="00255821"/>
    <w:rsid w:val="002650B0"/>
    <w:rsid w:val="002A5B58"/>
    <w:rsid w:val="00332D5A"/>
    <w:rsid w:val="003420AD"/>
    <w:rsid w:val="00345404"/>
    <w:rsid w:val="003744CB"/>
    <w:rsid w:val="00376768"/>
    <w:rsid w:val="00382101"/>
    <w:rsid w:val="003966A6"/>
    <w:rsid w:val="003B381A"/>
    <w:rsid w:val="003C58D3"/>
    <w:rsid w:val="003F074B"/>
    <w:rsid w:val="00403AC9"/>
    <w:rsid w:val="00405EFC"/>
    <w:rsid w:val="00434E32"/>
    <w:rsid w:val="00440B37"/>
    <w:rsid w:val="00450F2B"/>
    <w:rsid w:val="0045548E"/>
    <w:rsid w:val="00481787"/>
    <w:rsid w:val="00491B35"/>
    <w:rsid w:val="00502539"/>
    <w:rsid w:val="00524EC4"/>
    <w:rsid w:val="0054189C"/>
    <w:rsid w:val="00543505"/>
    <w:rsid w:val="00564CE8"/>
    <w:rsid w:val="005A7B50"/>
    <w:rsid w:val="005F0153"/>
    <w:rsid w:val="00611755"/>
    <w:rsid w:val="00626CBC"/>
    <w:rsid w:val="00633A2F"/>
    <w:rsid w:val="00652F55"/>
    <w:rsid w:val="006A3BC2"/>
    <w:rsid w:val="006F3473"/>
    <w:rsid w:val="00725081"/>
    <w:rsid w:val="007358F5"/>
    <w:rsid w:val="00741C82"/>
    <w:rsid w:val="0074359D"/>
    <w:rsid w:val="0077389A"/>
    <w:rsid w:val="00773D44"/>
    <w:rsid w:val="0079748E"/>
    <w:rsid w:val="007A7B97"/>
    <w:rsid w:val="007B7D1F"/>
    <w:rsid w:val="007D246C"/>
    <w:rsid w:val="007D7354"/>
    <w:rsid w:val="007F401A"/>
    <w:rsid w:val="00806B91"/>
    <w:rsid w:val="0082148C"/>
    <w:rsid w:val="00821CE0"/>
    <w:rsid w:val="00825C0B"/>
    <w:rsid w:val="00827890"/>
    <w:rsid w:val="0083500C"/>
    <w:rsid w:val="00841AF9"/>
    <w:rsid w:val="00843724"/>
    <w:rsid w:val="0084691C"/>
    <w:rsid w:val="00853E40"/>
    <w:rsid w:val="00860E13"/>
    <w:rsid w:val="0088450D"/>
    <w:rsid w:val="008D0202"/>
    <w:rsid w:val="008D57C0"/>
    <w:rsid w:val="008F41F9"/>
    <w:rsid w:val="00926A6A"/>
    <w:rsid w:val="00934D6C"/>
    <w:rsid w:val="009520CB"/>
    <w:rsid w:val="00973B15"/>
    <w:rsid w:val="0097477D"/>
    <w:rsid w:val="009910D0"/>
    <w:rsid w:val="009A172A"/>
    <w:rsid w:val="009B11A9"/>
    <w:rsid w:val="009C075F"/>
    <w:rsid w:val="00A03715"/>
    <w:rsid w:val="00A230D1"/>
    <w:rsid w:val="00A34D8D"/>
    <w:rsid w:val="00A433C2"/>
    <w:rsid w:val="00A60403"/>
    <w:rsid w:val="00AA02BF"/>
    <w:rsid w:val="00AA3D06"/>
    <w:rsid w:val="00AD0191"/>
    <w:rsid w:val="00AF6772"/>
    <w:rsid w:val="00B537E0"/>
    <w:rsid w:val="00B82553"/>
    <w:rsid w:val="00BA0956"/>
    <w:rsid w:val="00BE4175"/>
    <w:rsid w:val="00BE52CF"/>
    <w:rsid w:val="00BE6FC2"/>
    <w:rsid w:val="00C048D6"/>
    <w:rsid w:val="00C52CBA"/>
    <w:rsid w:val="00CA698C"/>
    <w:rsid w:val="00CC0218"/>
    <w:rsid w:val="00D13C3E"/>
    <w:rsid w:val="00D774B4"/>
    <w:rsid w:val="00D80E84"/>
    <w:rsid w:val="00D86EE0"/>
    <w:rsid w:val="00D87FB9"/>
    <w:rsid w:val="00DA6B8B"/>
    <w:rsid w:val="00DC0102"/>
    <w:rsid w:val="00E97B77"/>
    <w:rsid w:val="00EA393D"/>
    <w:rsid w:val="00ED7F39"/>
    <w:rsid w:val="00EE7747"/>
    <w:rsid w:val="00F04DC2"/>
    <w:rsid w:val="00F275A3"/>
    <w:rsid w:val="00F71203"/>
    <w:rsid w:val="00F716D6"/>
    <w:rsid w:val="10E49BAF"/>
    <w:rsid w:val="342AA3C4"/>
    <w:rsid w:val="64367035"/>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0CB0"/>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040CB0"/>
    <w:pPr>
      <w:numPr>
        <w:numId w:val="1"/>
      </w:numPr>
      <w:outlineLvl w:val="0"/>
    </w:pPr>
    <w:rPr>
      <w:b/>
      <w:bCs/>
    </w:rPr>
  </w:style>
  <w:style w:type="paragraph" w:styleId="Titre2">
    <w:name w:val="heading 2"/>
    <w:basedOn w:val="Heading"/>
    <w:next w:val="Textbody"/>
    <w:qFormat/>
    <w:rsid w:val="00040CB0"/>
    <w:pPr>
      <w:numPr>
        <w:ilvl w:val="1"/>
        <w:numId w:val="1"/>
      </w:numPr>
      <w:outlineLvl w:val="1"/>
    </w:pPr>
    <w:rPr>
      <w:b/>
      <w:bCs/>
      <w:i/>
      <w:iCs/>
    </w:rPr>
  </w:style>
  <w:style w:type="paragraph" w:styleId="Titre3">
    <w:name w:val="heading 3"/>
    <w:basedOn w:val="Heading"/>
    <w:next w:val="Textbody"/>
    <w:qFormat/>
    <w:rsid w:val="00040CB0"/>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40CB0"/>
    <w:rPr>
      <w:rFonts w:ascii="Symbol" w:eastAsia="Times New Roman" w:hAnsi="Symbol" w:cs="Verdana"/>
    </w:rPr>
  </w:style>
  <w:style w:type="character" w:customStyle="1" w:styleId="WW8Num1z1">
    <w:name w:val="WW8Num1z1"/>
    <w:rsid w:val="00040CB0"/>
    <w:rPr>
      <w:rFonts w:ascii="OpenSymbol" w:hAnsi="OpenSymbol" w:cs="Courier New"/>
    </w:rPr>
  </w:style>
  <w:style w:type="character" w:customStyle="1" w:styleId="WW8Num2z0">
    <w:name w:val="WW8Num2z0"/>
    <w:rsid w:val="00040CB0"/>
    <w:rPr>
      <w:rFonts w:ascii="Verdana" w:eastAsia="SimSun" w:hAnsi="Verdana" w:cs="Mangal"/>
    </w:rPr>
  </w:style>
  <w:style w:type="character" w:customStyle="1" w:styleId="WW8Num2z1">
    <w:name w:val="WW8Num2z1"/>
    <w:rsid w:val="00040CB0"/>
    <w:rPr>
      <w:rFonts w:ascii="Courier New" w:hAnsi="Courier New" w:cs="Courier New"/>
    </w:rPr>
  </w:style>
  <w:style w:type="character" w:customStyle="1" w:styleId="WW8Num2z2">
    <w:name w:val="WW8Num2z2"/>
    <w:rsid w:val="00040CB0"/>
    <w:rPr>
      <w:rFonts w:ascii="Wingdings" w:hAnsi="Wingdings" w:cs="Wingdings"/>
    </w:rPr>
  </w:style>
  <w:style w:type="character" w:customStyle="1" w:styleId="WW8Num2z3">
    <w:name w:val="WW8Num2z3"/>
    <w:rsid w:val="00040CB0"/>
    <w:rPr>
      <w:rFonts w:ascii="Symbol" w:hAnsi="Symbol" w:cs="Symbol"/>
    </w:rPr>
  </w:style>
  <w:style w:type="character" w:customStyle="1" w:styleId="WW8Num4z0">
    <w:name w:val="WW8Num4z0"/>
    <w:rsid w:val="00040CB0"/>
    <w:rPr>
      <w:rFonts w:ascii="Verdana" w:eastAsia="Times New Roman" w:hAnsi="Verdana" w:cs="Verdana"/>
    </w:rPr>
  </w:style>
  <w:style w:type="character" w:customStyle="1" w:styleId="WW8Num4z1">
    <w:name w:val="WW8Num4z1"/>
    <w:rsid w:val="00040CB0"/>
    <w:rPr>
      <w:rFonts w:ascii="Courier New" w:hAnsi="Courier New" w:cs="Courier New"/>
    </w:rPr>
  </w:style>
  <w:style w:type="character" w:customStyle="1" w:styleId="WW8Num4z2">
    <w:name w:val="WW8Num4z2"/>
    <w:rsid w:val="00040CB0"/>
    <w:rPr>
      <w:rFonts w:ascii="Wingdings" w:hAnsi="Wingdings" w:cs="Wingdings"/>
    </w:rPr>
  </w:style>
  <w:style w:type="character" w:customStyle="1" w:styleId="WW8Num4z3">
    <w:name w:val="WW8Num4z3"/>
    <w:rsid w:val="00040CB0"/>
    <w:rPr>
      <w:rFonts w:ascii="Symbol" w:hAnsi="Symbol" w:cs="Symbol"/>
    </w:rPr>
  </w:style>
  <w:style w:type="character" w:customStyle="1" w:styleId="WW8Num5z0">
    <w:name w:val="WW8Num5z0"/>
    <w:rsid w:val="00040CB0"/>
    <w:rPr>
      <w:rFonts w:ascii="Symbol" w:hAnsi="Symbol" w:cs="OpenSymbol"/>
    </w:rPr>
  </w:style>
  <w:style w:type="character" w:customStyle="1" w:styleId="WW8Num5z1">
    <w:name w:val="WW8Num5z1"/>
    <w:rsid w:val="00040CB0"/>
    <w:rPr>
      <w:rFonts w:ascii="OpenSymbol" w:hAnsi="OpenSymbol" w:cs="OpenSymbol"/>
    </w:rPr>
  </w:style>
  <w:style w:type="character" w:customStyle="1" w:styleId="WW8Num5z2">
    <w:name w:val="WW8Num5z2"/>
    <w:rsid w:val="00040CB0"/>
    <w:rPr>
      <w:rFonts w:ascii="Wingdings" w:hAnsi="Wingdings" w:cs="Wingdings"/>
    </w:rPr>
  </w:style>
  <w:style w:type="character" w:customStyle="1" w:styleId="WW8Num5z3">
    <w:name w:val="WW8Num5z3"/>
    <w:rsid w:val="00040CB0"/>
    <w:rPr>
      <w:rFonts w:ascii="Symbol" w:hAnsi="Symbol" w:cs="Symbol"/>
    </w:rPr>
  </w:style>
  <w:style w:type="character" w:customStyle="1" w:styleId="WW8Num6z0">
    <w:name w:val="WW8Num6z0"/>
    <w:rsid w:val="00040CB0"/>
    <w:rPr>
      <w:rFonts w:ascii="Symbol" w:hAnsi="Symbol" w:cs="OpenSymbol"/>
    </w:rPr>
  </w:style>
  <w:style w:type="character" w:customStyle="1" w:styleId="WW8Num6z1">
    <w:name w:val="WW8Num6z1"/>
    <w:rsid w:val="00040CB0"/>
    <w:rPr>
      <w:rFonts w:ascii="OpenSymbol" w:hAnsi="OpenSymbol" w:cs="OpenSymbol"/>
    </w:rPr>
  </w:style>
  <w:style w:type="character" w:customStyle="1" w:styleId="Policepardfaut1">
    <w:name w:val="Police par défaut1"/>
    <w:rsid w:val="00040CB0"/>
  </w:style>
  <w:style w:type="character" w:customStyle="1" w:styleId="NumberingSymbols">
    <w:name w:val="Numbering Symbols"/>
    <w:rsid w:val="00040CB0"/>
    <w:rPr>
      <w:b/>
      <w:bCs/>
    </w:rPr>
  </w:style>
  <w:style w:type="character" w:customStyle="1" w:styleId="BulletSymbols">
    <w:name w:val="Bullet Symbols"/>
    <w:rsid w:val="00040CB0"/>
    <w:rPr>
      <w:rFonts w:ascii="OpenSymbol" w:eastAsia="OpenSymbol" w:hAnsi="OpenSymbol" w:cs="OpenSymbol"/>
    </w:rPr>
  </w:style>
  <w:style w:type="character" w:customStyle="1" w:styleId="En-tteCar">
    <w:name w:val="En-tête Car"/>
    <w:rsid w:val="00040CB0"/>
    <w:rPr>
      <w:szCs w:val="21"/>
    </w:rPr>
  </w:style>
  <w:style w:type="character" w:styleId="Numrodepage">
    <w:name w:val="page number"/>
    <w:basedOn w:val="Policepardfaut1"/>
    <w:rsid w:val="00040CB0"/>
  </w:style>
  <w:style w:type="character" w:customStyle="1" w:styleId="Puces">
    <w:name w:val="Puces"/>
    <w:rsid w:val="00040CB0"/>
    <w:rPr>
      <w:rFonts w:ascii="OpenSymbol" w:eastAsia="OpenSymbol" w:hAnsi="OpenSymbol" w:cs="OpenSymbol"/>
    </w:rPr>
  </w:style>
  <w:style w:type="paragraph" w:customStyle="1" w:styleId="Titre10">
    <w:name w:val="Titre1"/>
    <w:basedOn w:val="Normal"/>
    <w:next w:val="Corpsdetexte"/>
    <w:rsid w:val="00040CB0"/>
    <w:pPr>
      <w:keepNext/>
      <w:spacing w:before="240" w:after="120"/>
    </w:pPr>
    <w:rPr>
      <w:rFonts w:ascii="Arial" w:eastAsia="Microsoft YaHei" w:hAnsi="Arial"/>
      <w:sz w:val="28"/>
      <w:szCs w:val="28"/>
    </w:rPr>
  </w:style>
  <w:style w:type="paragraph" w:styleId="Corpsdetexte">
    <w:name w:val="Body Text"/>
    <w:basedOn w:val="Normal"/>
    <w:rsid w:val="00040CB0"/>
    <w:pPr>
      <w:spacing w:after="120"/>
    </w:pPr>
  </w:style>
  <w:style w:type="paragraph" w:styleId="Liste">
    <w:name w:val="List"/>
    <w:basedOn w:val="Textbody"/>
    <w:rsid w:val="00040CB0"/>
  </w:style>
  <w:style w:type="paragraph" w:styleId="Lgende">
    <w:name w:val="caption"/>
    <w:basedOn w:val="WW-Standard"/>
    <w:qFormat/>
    <w:rsid w:val="00040CB0"/>
    <w:pPr>
      <w:suppressLineNumbers/>
      <w:spacing w:before="120" w:after="120"/>
    </w:pPr>
    <w:rPr>
      <w:i/>
      <w:iCs/>
    </w:rPr>
  </w:style>
  <w:style w:type="paragraph" w:customStyle="1" w:styleId="Index">
    <w:name w:val="Index"/>
    <w:basedOn w:val="WW-Standard"/>
    <w:rsid w:val="00040CB0"/>
    <w:pPr>
      <w:suppressLineNumbers/>
    </w:pPr>
  </w:style>
  <w:style w:type="paragraph" w:customStyle="1" w:styleId="WW-Standard">
    <w:name w:val="WW-Standard"/>
    <w:rsid w:val="00040CB0"/>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040CB0"/>
    <w:pPr>
      <w:keepNext/>
      <w:spacing w:before="240" w:after="120"/>
    </w:pPr>
    <w:rPr>
      <w:rFonts w:ascii="Arial" w:eastAsia="Microsoft YaHei" w:hAnsi="Arial" w:cs="Arial"/>
      <w:sz w:val="28"/>
      <w:szCs w:val="28"/>
    </w:rPr>
  </w:style>
  <w:style w:type="paragraph" w:customStyle="1" w:styleId="Textbody">
    <w:name w:val="Text body"/>
    <w:basedOn w:val="WW-Standard"/>
    <w:rsid w:val="00040CB0"/>
    <w:pPr>
      <w:spacing w:after="120"/>
    </w:pPr>
  </w:style>
  <w:style w:type="paragraph" w:styleId="Pieddepage">
    <w:name w:val="footer"/>
    <w:basedOn w:val="WW-Standard"/>
    <w:rsid w:val="00040CB0"/>
    <w:pPr>
      <w:suppressLineNumbers/>
    </w:pPr>
  </w:style>
  <w:style w:type="paragraph" w:customStyle="1" w:styleId="TableContents">
    <w:name w:val="Table Contents"/>
    <w:basedOn w:val="WW-Standard"/>
    <w:rsid w:val="00040CB0"/>
    <w:pPr>
      <w:suppressLineNumbers/>
    </w:pPr>
  </w:style>
  <w:style w:type="paragraph" w:styleId="En-tte">
    <w:name w:val="header"/>
    <w:basedOn w:val="Normal"/>
    <w:rsid w:val="00040CB0"/>
    <w:rPr>
      <w:szCs w:val="21"/>
    </w:rPr>
  </w:style>
  <w:style w:type="paragraph" w:customStyle="1" w:styleId="Contenudetableau">
    <w:name w:val="Contenu de tableau"/>
    <w:basedOn w:val="Normal"/>
    <w:rsid w:val="00040CB0"/>
    <w:pPr>
      <w:suppressLineNumbers/>
    </w:pPr>
  </w:style>
  <w:style w:type="paragraph" w:customStyle="1" w:styleId="Titredetableau">
    <w:name w:val="Titre de tableau"/>
    <w:basedOn w:val="Contenudetableau"/>
    <w:rsid w:val="00040CB0"/>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84691C"/>
    <w:pPr>
      <w:ind w:left="720"/>
      <w:contextualSpacing/>
    </w:pPr>
    <w:rPr>
      <w:szCs w:val="21"/>
    </w:rPr>
  </w:style>
  <w:style w:type="paragraph" w:styleId="Commentaire">
    <w:name w:val="annotation text"/>
    <w:basedOn w:val="Normal"/>
    <w:link w:val="CommentaireCar"/>
    <w:rsid w:val="00040CB0"/>
    <w:rPr>
      <w:sz w:val="20"/>
      <w:szCs w:val="18"/>
    </w:rPr>
  </w:style>
  <w:style w:type="character" w:customStyle="1" w:styleId="CommentaireCar">
    <w:name w:val="Commentaire Car"/>
    <w:basedOn w:val="Policepardfaut"/>
    <w:link w:val="Commentaire"/>
    <w:rsid w:val="00040CB0"/>
    <w:rPr>
      <w:rFonts w:eastAsia="SimSun" w:cs="Mangal"/>
      <w:kern w:val="1"/>
      <w:szCs w:val="18"/>
      <w:lang w:eastAsia="zh-CN" w:bidi="hi-IN"/>
    </w:rPr>
  </w:style>
  <w:style w:type="character" w:styleId="Marquedecommentaire">
    <w:name w:val="annotation reference"/>
    <w:basedOn w:val="Policepardfaut"/>
    <w:rsid w:val="00040CB0"/>
    <w:rPr>
      <w:sz w:val="16"/>
      <w:szCs w:val="16"/>
    </w:rPr>
  </w:style>
  <w:style w:type="paragraph" w:styleId="Textedebulles">
    <w:name w:val="Balloon Text"/>
    <w:basedOn w:val="Normal"/>
    <w:link w:val="TextedebullesCar"/>
    <w:rsid w:val="00EA393D"/>
    <w:rPr>
      <w:rFonts w:ascii="Tahoma" w:hAnsi="Tahoma"/>
      <w:sz w:val="16"/>
      <w:szCs w:val="14"/>
    </w:rPr>
  </w:style>
  <w:style w:type="character" w:customStyle="1" w:styleId="TextedebullesCar">
    <w:name w:val="Texte de bulles Car"/>
    <w:basedOn w:val="Policepardfaut"/>
    <w:link w:val="Textedebulles"/>
    <w:rsid w:val="00EA393D"/>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84691C"/>
    <w:pPr>
      <w:ind w:left="720"/>
      <w:contextualSpacing/>
    </w:pPr>
    <w:rPr>
      <w:szCs w:val="21"/>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EA393D"/>
    <w:rPr>
      <w:rFonts w:ascii="Tahoma" w:hAnsi="Tahoma"/>
      <w:sz w:val="16"/>
      <w:szCs w:val="14"/>
    </w:rPr>
  </w:style>
  <w:style w:type="character" w:customStyle="1" w:styleId="TextedebullesCar">
    <w:name w:val="Texte de bulles Car"/>
    <w:basedOn w:val="Policepardfaut"/>
    <w:link w:val="Textedebulles"/>
    <w:rsid w:val="00EA393D"/>
    <w:rPr>
      <w:rFonts w:ascii="Tahoma" w:eastAsia="SimSun" w:hAnsi="Tahoma" w:cs="Mangal"/>
      <w:kern w:val="1"/>
      <w:sz w:val="16"/>
      <w:szCs w:val="14"/>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542056">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02841775">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44511567">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351347609">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466896040">
      <w:bodyDiv w:val="1"/>
      <w:marLeft w:val="0"/>
      <w:marRight w:val="0"/>
      <w:marTop w:val="0"/>
      <w:marBottom w:val="0"/>
      <w:divBdr>
        <w:top w:val="none" w:sz="0" w:space="0" w:color="auto"/>
        <w:left w:val="none" w:sz="0" w:space="0" w:color="auto"/>
        <w:bottom w:val="none" w:sz="0" w:space="0" w:color="auto"/>
        <w:right w:val="none" w:sz="0" w:space="0" w:color="auto"/>
      </w:divBdr>
    </w:div>
    <w:div w:id="513955624">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25814975">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677467199">
      <w:bodyDiv w:val="1"/>
      <w:marLeft w:val="0"/>
      <w:marRight w:val="0"/>
      <w:marTop w:val="0"/>
      <w:marBottom w:val="0"/>
      <w:divBdr>
        <w:top w:val="none" w:sz="0" w:space="0" w:color="auto"/>
        <w:left w:val="none" w:sz="0" w:space="0" w:color="auto"/>
        <w:bottom w:val="none" w:sz="0" w:space="0" w:color="auto"/>
        <w:right w:val="none" w:sz="0" w:space="0" w:color="auto"/>
      </w:divBdr>
    </w:div>
    <w:div w:id="768962046">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896860576">
      <w:bodyDiv w:val="1"/>
      <w:marLeft w:val="0"/>
      <w:marRight w:val="0"/>
      <w:marTop w:val="0"/>
      <w:marBottom w:val="0"/>
      <w:divBdr>
        <w:top w:val="none" w:sz="0" w:space="0" w:color="auto"/>
        <w:left w:val="none" w:sz="0" w:space="0" w:color="auto"/>
        <w:bottom w:val="none" w:sz="0" w:space="0" w:color="auto"/>
        <w:right w:val="none" w:sz="0" w:space="0" w:color="auto"/>
      </w:divBdr>
    </w:div>
    <w:div w:id="934707190">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4454555">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086729751">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0005183">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06439610">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5963370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561594670">
      <w:bodyDiv w:val="1"/>
      <w:marLeft w:val="0"/>
      <w:marRight w:val="0"/>
      <w:marTop w:val="0"/>
      <w:marBottom w:val="0"/>
      <w:divBdr>
        <w:top w:val="none" w:sz="0" w:space="0" w:color="auto"/>
        <w:left w:val="none" w:sz="0" w:space="0" w:color="auto"/>
        <w:bottom w:val="none" w:sz="0" w:space="0" w:color="auto"/>
        <w:right w:val="none" w:sz="0" w:space="0" w:color="auto"/>
      </w:divBdr>
    </w:div>
    <w:div w:id="1610315188">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6410974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05627715">
      <w:bodyDiv w:val="1"/>
      <w:marLeft w:val="0"/>
      <w:marRight w:val="0"/>
      <w:marTop w:val="0"/>
      <w:marBottom w:val="0"/>
      <w:divBdr>
        <w:top w:val="none" w:sz="0" w:space="0" w:color="auto"/>
        <w:left w:val="none" w:sz="0" w:space="0" w:color="auto"/>
        <w:bottom w:val="none" w:sz="0" w:space="0" w:color="auto"/>
        <w:right w:val="none" w:sz="0" w:space="0" w:color="auto"/>
      </w:divBdr>
    </w:div>
    <w:div w:id="2016153599">
      <w:bodyDiv w:val="1"/>
      <w:marLeft w:val="0"/>
      <w:marRight w:val="0"/>
      <w:marTop w:val="0"/>
      <w:marBottom w:val="0"/>
      <w:divBdr>
        <w:top w:val="none" w:sz="0" w:space="0" w:color="auto"/>
        <w:left w:val="none" w:sz="0" w:space="0" w:color="auto"/>
        <w:bottom w:val="none" w:sz="0" w:space="0" w:color="auto"/>
        <w:right w:val="none" w:sz="0" w:space="0" w:color="auto"/>
      </w:divBdr>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4c75e99d38f84a6d" Type="http://schemas.microsoft.com/office/2011/relationships/people" Target="people.xml"/><Relationship Id="rId10" Type="http://schemas.openxmlformats.org/officeDocument/2006/relationships/footer" Target="footer1.xml"/><Relationship Id="R5bf35956fbcd434e"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18E49-1A27-44A4-AC55-31B0AAF5B9B3}">
  <ds:schemaRefs>
    <ds:schemaRef ds:uri="http://schemas.microsoft.com/sharepoint/v3/contenttype/forms"/>
  </ds:schemaRefs>
</ds:datastoreItem>
</file>

<file path=customXml/itemProps2.xml><?xml version="1.0" encoding="utf-8"?>
<ds:datastoreItem xmlns:ds="http://schemas.openxmlformats.org/officeDocument/2006/customXml" ds:itemID="{E0FC71EE-37E3-42C0-8084-62DB66D2D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B5B5F5-9FE9-417A-AA88-BB50CA2E402A}">
  <ds:schemaRefs>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c9f4b70c-db7f-4fd0-9b1d-ebaa300a76c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615</Words>
  <Characters>3384</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4</cp:revision>
  <cp:lastPrinted>2015-05-27T07:28:00Z</cp:lastPrinted>
  <dcterms:created xsi:type="dcterms:W3CDTF">2017-09-22T09:44:00Z</dcterms:created>
  <dcterms:modified xsi:type="dcterms:W3CDTF">2017-11-09T07:27:00Z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