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401" w:rsidRPr="008D57C0" w:rsidRDefault="00806B91" w:rsidP="00827890">
      <w:pPr>
        <w:pStyle w:val="WW-Standard"/>
        <w:spacing w:after="57"/>
        <w:jc w:val="center"/>
        <w:rPr>
          <w:rFonts w:ascii="Verdana" w:hAnsi="Verdana" w:cs="Verdana"/>
          <w:b/>
          <w:bCs/>
          <w:color w:val="17365D" w:themeColor="text2" w:themeShade="BF"/>
          <w:sz w:val="28"/>
          <w:szCs w:val="28"/>
        </w:rPr>
      </w:pPr>
      <w:r>
        <w:rPr>
          <w:rFonts w:ascii="Verdana" w:hAnsi="Verdana" w:cs="Verdana"/>
          <w:b/>
          <w:bCs/>
          <w:color w:val="17365D" w:themeColor="text2" w:themeShade="BF"/>
          <w:sz w:val="28"/>
          <w:szCs w:val="28"/>
        </w:rPr>
        <w:t>FICHE 1.</w:t>
      </w:r>
      <w:r w:rsidR="00BE4175">
        <w:rPr>
          <w:rFonts w:ascii="Verdana" w:hAnsi="Verdana" w:cs="Verdana"/>
          <w:b/>
          <w:bCs/>
          <w:color w:val="17365D" w:themeColor="text2" w:themeShade="BF"/>
          <w:sz w:val="28"/>
          <w:szCs w:val="28"/>
        </w:rPr>
        <w:t>2.</w:t>
      </w:r>
      <w:r w:rsidR="00860E13">
        <w:rPr>
          <w:rFonts w:ascii="Verdana" w:hAnsi="Verdana" w:cs="Verdana"/>
          <w:b/>
          <w:bCs/>
          <w:color w:val="17365D" w:themeColor="text2" w:themeShade="BF"/>
          <w:sz w:val="28"/>
          <w:szCs w:val="28"/>
        </w:rPr>
        <w:t>2</w:t>
      </w:r>
      <w:r w:rsidR="007C51E2">
        <w:rPr>
          <w:rFonts w:ascii="Verdana" w:hAnsi="Verdana" w:cs="Verdana"/>
          <w:b/>
          <w:bCs/>
          <w:color w:val="17365D" w:themeColor="text2" w:themeShade="BF"/>
          <w:sz w:val="28"/>
          <w:szCs w:val="28"/>
        </w:rPr>
        <w:t xml:space="preserve"> </w:t>
      </w:r>
      <w:r w:rsidR="007C51E2" w:rsidRPr="00617FC3">
        <w:rPr>
          <w:rFonts w:ascii="Verdana" w:hAnsi="Verdana" w:cs="Verdana"/>
          <w:b/>
          <w:bCs/>
          <w:i/>
          <w:color w:val="17365D" w:themeColor="text2" w:themeShade="BF"/>
          <w:sz w:val="16"/>
          <w:szCs w:val="16"/>
        </w:rPr>
        <w:t>(version 2017)</w:t>
      </w:r>
    </w:p>
    <w:p w:rsidR="00860E13" w:rsidRPr="0083500C" w:rsidRDefault="00860E13" w:rsidP="0083500C">
      <w:pPr>
        <w:pStyle w:val="WW-Standard"/>
        <w:shd w:val="clear" w:color="auto" w:fill="1F497D"/>
        <w:spacing w:after="57"/>
        <w:jc w:val="center"/>
        <w:rPr>
          <w:rFonts w:ascii="Verdana" w:hAnsi="Verdana" w:cs="Verdana"/>
          <w:b/>
          <w:bCs/>
          <w:color w:val="FFFFFF"/>
          <w:sz w:val="28"/>
          <w:szCs w:val="28"/>
        </w:rPr>
      </w:pPr>
      <w:r w:rsidRPr="00860E13">
        <w:rPr>
          <w:rFonts w:ascii="Verdana" w:hAnsi="Verdana" w:cs="Verdana"/>
          <w:b/>
          <w:bCs/>
          <w:color w:val="FFFFFF"/>
          <w:sz w:val="28"/>
          <w:szCs w:val="28"/>
        </w:rPr>
        <w:t>FAIRE CONNAITRE LES DISPOSITIFS DE DROIT COMMUN SUR LE DECROCHAGE SCOLAIRE A TOUS LES ACTEURS DE QUARTIER AFIN DE MIEUX LES MOBILISER</w:t>
      </w:r>
      <w:r w:rsidR="00856FA3">
        <w:rPr>
          <w:rFonts w:ascii="Verdana" w:hAnsi="Verdana" w:cs="Verdana"/>
          <w:b/>
          <w:bCs/>
          <w:color w:val="FFFFFF"/>
          <w:sz w:val="28"/>
          <w:szCs w:val="28"/>
        </w:rPr>
        <w:t>.</w:t>
      </w:r>
      <w:r w:rsidRPr="00860E13">
        <w:rPr>
          <w:rFonts w:ascii="Verdana" w:hAnsi="Verdana" w:cs="Verdana"/>
          <w:b/>
          <w:bCs/>
          <w:color w:val="FFFFFF"/>
          <w:sz w:val="28"/>
          <w:szCs w:val="28"/>
        </w:rPr>
        <w:t xml:space="preserve"> </w:t>
      </w:r>
      <w:r w:rsidR="001476D1">
        <w:rPr>
          <w:rFonts w:ascii="Verdana" w:hAnsi="Verdana" w:cs="Verdana"/>
          <w:b/>
          <w:bCs/>
          <w:color w:val="FFFFFF"/>
          <w:sz w:val="28"/>
          <w:szCs w:val="28"/>
        </w:rPr>
        <w:br/>
      </w:r>
      <w:r w:rsidRPr="00860E13">
        <w:rPr>
          <w:rFonts w:ascii="Verdana" w:hAnsi="Verdana" w:cs="Verdana"/>
          <w:b/>
          <w:bCs/>
          <w:color w:val="FFFFFF"/>
          <w:sz w:val="28"/>
          <w:szCs w:val="28"/>
        </w:rPr>
        <w:t xml:space="preserve">ARTICULER </w:t>
      </w:r>
      <w:r w:rsidR="00856FA3">
        <w:rPr>
          <w:rFonts w:ascii="Verdana" w:hAnsi="Verdana" w:cs="Verdana"/>
          <w:b/>
          <w:bCs/>
          <w:color w:val="FFFFFF"/>
          <w:sz w:val="28"/>
          <w:szCs w:val="28"/>
        </w:rPr>
        <w:t xml:space="preserve">LES DISPOSITIFS </w:t>
      </w:r>
      <w:r w:rsidRPr="00860E13">
        <w:rPr>
          <w:rFonts w:ascii="Verdana" w:hAnsi="Verdana" w:cs="Verdana"/>
          <w:b/>
          <w:bCs/>
          <w:color w:val="FFFFFF"/>
          <w:sz w:val="28"/>
          <w:szCs w:val="28"/>
        </w:rPr>
        <w:t>AVEC LES ACTIONS EDUCATIVES HORS TEMPS SCOLAIRE</w:t>
      </w:r>
    </w:p>
    <w:p w:rsidR="00611755" w:rsidRDefault="00611755" w:rsidP="00611755">
      <w:pPr>
        <w:pStyle w:val="WW-Standard"/>
        <w:spacing w:after="57"/>
        <w:jc w:val="center"/>
        <w:rPr>
          <w:rFonts w:ascii="Verdana" w:hAnsi="Verdana" w:cs="Verdana"/>
          <w:b/>
          <w:bCs/>
          <w:sz w:val="20"/>
          <w:szCs w:val="20"/>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8CCE4"/>
        <w:tblLook w:val="01E0"/>
      </w:tblPr>
      <w:tblGrid>
        <w:gridCol w:w="2235"/>
        <w:gridCol w:w="8646"/>
      </w:tblGrid>
      <w:tr w:rsidR="00611755" w:rsidRPr="00243AF9" w:rsidTr="1D6AF8A0">
        <w:trPr>
          <w:trHeight w:val="754"/>
        </w:trPr>
        <w:tc>
          <w:tcPr>
            <w:tcW w:w="2235" w:type="dxa"/>
            <w:shd w:val="clear" w:color="auto" w:fill="B8CCE4" w:themeFill="accent1" w:themeFillTint="66"/>
            <w:vAlign w:val="center"/>
          </w:tcPr>
          <w:p w:rsidR="00611755" w:rsidRDefault="00611755" w:rsidP="00611755">
            <w:pPr>
              <w:pStyle w:val="TableContents"/>
              <w:rPr>
                <w:rFonts w:ascii="Verdana" w:hAnsi="Verdana" w:cs="Verdana"/>
                <w:b/>
                <w:bCs/>
                <w:color w:val="1F497D"/>
                <w:sz w:val="20"/>
                <w:szCs w:val="20"/>
              </w:rPr>
            </w:pPr>
            <w:r>
              <w:rPr>
                <w:rFonts w:ascii="Verdana" w:hAnsi="Verdana" w:cs="Verdana"/>
                <w:b/>
                <w:bCs/>
                <w:color w:val="1F497D"/>
                <w:sz w:val="20"/>
                <w:szCs w:val="20"/>
              </w:rPr>
              <w:t>Pilier</w:t>
            </w:r>
            <w:r w:rsidR="00806B91">
              <w:rPr>
                <w:rFonts w:ascii="Verdana" w:hAnsi="Verdana" w:cs="Verdana"/>
                <w:b/>
                <w:bCs/>
                <w:color w:val="1F497D"/>
                <w:sz w:val="20"/>
                <w:szCs w:val="20"/>
              </w:rPr>
              <w:t xml:space="preserve"> 1</w:t>
            </w:r>
          </w:p>
          <w:p w:rsidR="005F0153" w:rsidRPr="00243AF9" w:rsidRDefault="00611755" w:rsidP="00BE4175">
            <w:pPr>
              <w:pStyle w:val="TableContents"/>
              <w:rPr>
                <w:rFonts w:ascii="Verdana" w:hAnsi="Verdana" w:cs="Verdana"/>
                <w:b/>
                <w:bCs/>
                <w:color w:val="1F497D"/>
                <w:sz w:val="20"/>
                <w:szCs w:val="20"/>
              </w:rPr>
            </w:pPr>
            <w:r>
              <w:rPr>
                <w:rFonts w:ascii="Verdana" w:hAnsi="Verdana" w:cs="Verdana"/>
                <w:b/>
                <w:bCs/>
                <w:color w:val="1F497D"/>
                <w:sz w:val="20"/>
                <w:szCs w:val="20"/>
              </w:rPr>
              <w:t>Axe</w:t>
            </w:r>
            <w:r w:rsidR="00806B91">
              <w:rPr>
                <w:rFonts w:ascii="Verdana" w:hAnsi="Verdana" w:cs="Verdana"/>
                <w:b/>
                <w:bCs/>
                <w:color w:val="1F497D"/>
                <w:sz w:val="20"/>
                <w:szCs w:val="20"/>
              </w:rPr>
              <w:t> </w:t>
            </w:r>
            <w:r w:rsidR="00BE4175">
              <w:rPr>
                <w:rFonts w:ascii="Verdana" w:hAnsi="Verdana" w:cs="Verdana"/>
                <w:b/>
                <w:bCs/>
                <w:color w:val="1F497D"/>
                <w:sz w:val="20"/>
                <w:szCs w:val="20"/>
              </w:rPr>
              <w:t>2</w:t>
            </w:r>
          </w:p>
        </w:tc>
        <w:tc>
          <w:tcPr>
            <w:tcW w:w="8646" w:type="dxa"/>
            <w:shd w:val="clear" w:color="auto" w:fill="B8CCE4" w:themeFill="accent1" w:themeFillTint="66"/>
            <w:vAlign w:val="center"/>
          </w:tcPr>
          <w:p w:rsidR="00611755" w:rsidRPr="00405EFC" w:rsidRDefault="1D6AF8A0" w:rsidP="00860E13">
            <w:pPr>
              <w:pStyle w:val="TableContents"/>
              <w:rPr>
                <w:rFonts w:ascii="Verdana" w:hAnsi="Verdana" w:cs="Verdana"/>
                <w:b/>
                <w:bCs/>
                <w:color w:val="1F497D"/>
                <w:sz w:val="20"/>
                <w:szCs w:val="20"/>
              </w:rPr>
            </w:pPr>
            <w:r w:rsidRPr="1D6AF8A0">
              <w:rPr>
                <w:rFonts w:ascii="Verdana" w:eastAsia="Verdana" w:hAnsi="Verdana" w:cs="Verdana"/>
                <w:b/>
                <w:bCs/>
                <w:color w:val="1F497D" w:themeColor="text2"/>
                <w:sz w:val="20"/>
                <w:szCs w:val="20"/>
              </w:rPr>
              <w:t xml:space="preserve">Enjeu : Prévenir le décrochage scolaire des enfants des quartiers prioritaires et renforcer l’appétence pour l’école </w:t>
            </w:r>
          </w:p>
        </w:tc>
      </w:tr>
    </w:tbl>
    <w:p w:rsidR="00611755" w:rsidRPr="00243AF9" w:rsidRDefault="00611755" w:rsidP="00611755">
      <w:pPr>
        <w:pStyle w:val="WW-Standard"/>
        <w:spacing w:after="57"/>
        <w:jc w:val="center"/>
        <w:rPr>
          <w:rFonts w:ascii="Verdana" w:hAnsi="Verdana" w:cs="Verdana"/>
          <w:b/>
          <w:bCs/>
          <w:color w:val="1F497D"/>
          <w:sz w:val="20"/>
          <w:szCs w:val="20"/>
        </w:rPr>
      </w:pPr>
    </w:p>
    <w:tbl>
      <w:tblPr>
        <w:tblW w:w="10854" w:type="dxa"/>
        <w:tblInd w:w="-7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10" w:type="dxa"/>
          <w:right w:w="10" w:type="dxa"/>
        </w:tblCellMar>
        <w:tblLook w:val="0000"/>
      </w:tblPr>
      <w:tblGrid>
        <w:gridCol w:w="2360"/>
        <w:gridCol w:w="8494"/>
      </w:tblGrid>
      <w:tr w:rsidR="00611755" w:rsidRPr="00243AF9" w:rsidTr="1D6AF8A0">
        <w:trPr>
          <w:trHeight w:val="150"/>
        </w:trPr>
        <w:tc>
          <w:tcPr>
            <w:tcW w:w="2355" w:type="dxa"/>
            <w:shd w:val="clear" w:color="auto" w:fill="B8CCE4" w:themeFill="accent1" w:themeFillTint="66"/>
          </w:tcPr>
          <w:p w:rsidR="00611755" w:rsidRDefault="00611755" w:rsidP="00611755">
            <w:pPr>
              <w:pStyle w:val="TableContents"/>
              <w:snapToGrid w:val="0"/>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 xml:space="preserve">Contexte </w:t>
            </w:r>
          </w:p>
          <w:p w:rsidR="00611755" w:rsidRPr="00611755" w:rsidRDefault="00611755" w:rsidP="00611755">
            <w:pPr>
              <w:pStyle w:val="TableContents"/>
              <w:snapToGrid w:val="0"/>
              <w:spacing w:before="120" w:after="120"/>
              <w:ind w:left="71" w:right="-10"/>
              <w:rPr>
                <w:rFonts w:ascii="Verdana" w:hAnsi="Verdana" w:cs="Verdana"/>
                <w:bCs/>
                <w:i/>
                <w:color w:val="1F497D"/>
                <w:sz w:val="20"/>
                <w:szCs w:val="20"/>
              </w:rPr>
            </w:pPr>
          </w:p>
        </w:tc>
        <w:tc>
          <w:tcPr>
            <w:tcW w:w="8475" w:type="dxa"/>
            <w:shd w:val="clear" w:color="auto" w:fill="B8CCE4" w:themeFill="accent1" w:themeFillTint="66"/>
          </w:tcPr>
          <w:p w:rsidR="0064117E" w:rsidRPr="007C51E2" w:rsidRDefault="0064117E" w:rsidP="00AB1F69">
            <w:pPr>
              <w:pStyle w:val="TableContents"/>
              <w:numPr>
                <w:ilvl w:val="0"/>
                <w:numId w:val="6"/>
              </w:numPr>
              <w:tabs>
                <w:tab w:val="clear" w:pos="720"/>
              </w:tabs>
              <w:autoSpaceDN w:val="0"/>
              <w:spacing w:before="120" w:after="120"/>
              <w:ind w:left="415" w:right="131"/>
              <w:jc w:val="both"/>
              <w:rPr>
                <w:rFonts w:ascii="Verdana" w:hAnsi="Verdana" w:cs="Arial"/>
                <w:color w:val="1F497D" w:themeColor="text2"/>
                <w:sz w:val="18"/>
                <w:szCs w:val="18"/>
              </w:rPr>
            </w:pPr>
            <w:r w:rsidRPr="00856FA3">
              <w:rPr>
                <w:rFonts w:ascii="Verdana" w:hAnsi="Verdana" w:cs="Arial"/>
                <w:color w:val="1F497D" w:themeColor="text2"/>
                <w:sz w:val="18"/>
                <w:szCs w:val="18"/>
              </w:rPr>
              <w:t xml:space="preserve">En matière de lutte contre le décrochage scolaire, l’action coordonnée (sur tout le département) de tous les partenaires dans le cadre des Plates-formes de Suivi et d’Appui au Décrochage (PSAD) mises en place en mars 2011 et des réseaux </w:t>
            </w:r>
            <w:proofErr w:type="spellStart"/>
            <w:r w:rsidRPr="00856FA3">
              <w:rPr>
                <w:rFonts w:ascii="Verdana" w:hAnsi="Verdana" w:cs="Arial"/>
                <w:color w:val="1F497D" w:themeColor="text2"/>
                <w:sz w:val="18"/>
                <w:szCs w:val="18"/>
              </w:rPr>
              <w:t>FOrmation</w:t>
            </w:r>
            <w:proofErr w:type="spellEnd"/>
            <w:r w:rsidRPr="00856FA3">
              <w:rPr>
                <w:rFonts w:ascii="Verdana" w:hAnsi="Verdana" w:cs="Arial"/>
                <w:color w:val="1F497D" w:themeColor="text2"/>
                <w:sz w:val="18"/>
                <w:szCs w:val="18"/>
              </w:rPr>
              <w:t xml:space="preserve"> </w:t>
            </w:r>
            <w:proofErr w:type="spellStart"/>
            <w:r w:rsidRPr="00856FA3">
              <w:rPr>
                <w:rFonts w:ascii="Verdana" w:hAnsi="Verdana" w:cs="Arial"/>
                <w:color w:val="1F497D" w:themeColor="text2"/>
                <w:sz w:val="18"/>
                <w:szCs w:val="18"/>
              </w:rPr>
              <w:t>QUALification</w:t>
            </w:r>
            <w:proofErr w:type="spellEnd"/>
            <w:r w:rsidRPr="00856FA3">
              <w:rPr>
                <w:rFonts w:ascii="Verdana" w:hAnsi="Verdana" w:cs="Arial"/>
                <w:color w:val="1F497D" w:themeColor="text2"/>
                <w:sz w:val="18"/>
                <w:szCs w:val="18"/>
              </w:rPr>
              <w:t xml:space="preserve"> Emploi (FOQUALE) (depuis la rentrée 2013) a permis d’obtenir des résultats qualifiés d’encourageants par l’Education nationale. Des référents «décrochage» ont été nommés à la rentrée 2014 dans tous les lycées professionnels du département. </w:t>
            </w:r>
            <w:r w:rsidR="00C65747" w:rsidRPr="007C51E2">
              <w:rPr>
                <w:rFonts w:ascii="Verdana" w:hAnsi="Verdana" w:cs="Arial"/>
                <w:color w:val="1F497D" w:themeColor="text2"/>
                <w:sz w:val="18"/>
                <w:szCs w:val="18"/>
              </w:rPr>
              <w:t>Depuis mars 2016, chaque année une journée « persévérance scolaire » rassemble les acteurs de l’éducation (Education nationale et partenaires de l’école)</w:t>
            </w:r>
          </w:p>
          <w:p w:rsidR="00611755" w:rsidRPr="00243AF9" w:rsidRDefault="00114E13" w:rsidP="00DE4D0A">
            <w:pPr>
              <w:pStyle w:val="TableContents"/>
              <w:numPr>
                <w:ilvl w:val="0"/>
                <w:numId w:val="6"/>
              </w:numPr>
              <w:tabs>
                <w:tab w:val="clear" w:pos="720"/>
              </w:tabs>
              <w:autoSpaceDN w:val="0"/>
              <w:spacing w:before="120" w:after="120"/>
              <w:ind w:left="415" w:right="131"/>
              <w:jc w:val="both"/>
              <w:rPr>
                <w:rFonts w:ascii="Verdana" w:hAnsi="Verdana" w:cs="Arial"/>
                <w:bCs/>
                <w:color w:val="1F497D"/>
                <w:sz w:val="20"/>
                <w:szCs w:val="20"/>
              </w:rPr>
            </w:pPr>
            <w:r>
              <w:rPr>
                <w:rFonts w:ascii="Verdana" w:hAnsi="Verdana" w:cs="Arial"/>
                <w:color w:val="1F497D" w:themeColor="text2"/>
                <w:sz w:val="18"/>
                <w:szCs w:val="18"/>
              </w:rPr>
              <w:t>L</w:t>
            </w:r>
            <w:r w:rsidR="00856FA3">
              <w:rPr>
                <w:rFonts w:ascii="Verdana" w:hAnsi="Verdana" w:cs="Arial"/>
                <w:color w:val="1F497D" w:themeColor="text2"/>
                <w:sz w:val="18"/>
                <w:szCs w:val="18"/>
              </w:rPr>
              <w:t>es acteurs des quartiers</w:t>
            </w:r>
            <w:r>
              <w:rPr>
                <w:rFonts w:ascii="Verdana" w:hAnsi="Verdana" w:cs="Arial"/>
                <w:color w:val="1F497D" w:themeColor="text2"/>
                <w:sz w:val="18"/>
                <w:szCs w:val="18"/>
              </w:rPr>
              <w:t xml:space="preserve"> mentionnent un besoin de mieux connaître ces dynamiques conduites, leur mode de mi</w:t>
            </w:r>
            <w:r w:rsidR="00DE4D0A">
              <w:rPr>
                <w:rFonts w:ascii="Verdana" w:hAnsi="Verdana" w:cs="Arial"/>
                <w:color w:val="1F497D" w:themeColor="text2"/>
                <w:sz w:val="18"/>
                <w:szCs w:val="18"/>
              </w:rPr>
              <w:t>se en œuvre et leurs résultats. Ils expriment le besoin de</w:t>
            </w:r>
            <w:r w:rsidR="00F34CB5">
              <w:rPr>
                <w:rFonts w:ascii="Verdana" w:hAnsi="Verdana" w:cs="Arial"/>
                <w:color w:val="1F497D" w:themeColor="text2"/>
                <w:sz w:val="18"/>
                <w:szCs w:val="18"/>
              </w:rPr>
              <w:t xml:space="preserve"> mieux coordonner l</w:t>
            </w:r>
            <w:r w:rsidR="00856FA3">
              <w:rPr>
                <w:rFonts w:ascii="Verdana" w:hAnsi="Verdana" w:cs="Arial"/>
                <w:color w:val="1F497D" w:themeColor="text2"/>
                <w:sz w:val="18"/>
                <w:szCs w:val="18"/>
              </w:rPr>
              <w:t xml:space="preserve">es actions éducatives </w:t>
            </w:r>
            <w:r w:rsidR="00F34CB5">
              <w:rPr>
                <w:rFonts w:ascii="Verdana" w:hAnsi="Verdana" w:cs="Arial"/>
                <w:color w:val="1F497D" w:themeColor="text2"/>
                <w:sz w:val="18"/>
                <w:szCs w:val="18"/>
              </w:rPr>
              <w:t xml:space="preserve">qu’ils conduisent hors temps scolaires avec </w:t>
            </w:r>
            <w:r w:rsidR="00DE4D0A">
              <w:rPr>
                <w:rFonts w:ascii="Verdana" w:hAnsi="Verdana" w:cs="Arial"/>
                <w:color w:val="1F497D" w:themeColor="text2"/>
                <w:sz w:val="18"/>
                <w:szCs w:val="18"/>
              </w:rPr>
              <w:t xml:space="preserve">les dynamiques de droit commun en matière de lutte contre le décrochage. </w:t>
            </w:r>
          </w:p>
        </w:tc>
      </w:tr>
      <w:tr w:rsidR="00611755" w:rsidRPr="00243AF9" w:rsidTr="1D6AF8A0">
        <w:trPr>
          <w:trHeight w:val="142"/>
        </w:trPr>
        <w:tc>
          <w:tcPr>
            <w:tcW w:w="2355" w:type="dxa"/>
            <w:shd w:val="clear" w:color="auto" w:fill="B8CCE4" w:themeFill="accent1" w:themeFillTint="66"/>
          </w:tcPr>
          <w:p w:rsidR="00611755" w:rsidRDefault="00611755" w:rsidP="00611755">
            <w:pPr>
              <w:pStyle w:val="TableContents"/>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 xml:space="preserve">Objectifs </w:t>
            </w:r>
            <w:r>
              <w:rPr>
                <w:rFonts w:ascii="Verdana" w:hAnsi="Verdana" w:cs="Verdana"/>
                <w:b/>
                <w:bCs/>
                <w:color w:val="1F497D"/>
                <w:sz w:val="20"/>
                <w:szCs w:val="20"/>
              </w:rPr>
              <w:t>et dynamiques</w:t>
            </w:r>
          </w:p>
          <w:p w:rsidR="00611755" w:rsidRPr="008D57C0" w:rsidRDefault="00611755" w:rsidP="008D57C0">
            <w:pPr>
              <w:pStyle w:val="TableContents"/>
              <w:autoSpaceDN w:val="0"/>
              <w:spacing w:before="120" w:after="120"/>
              <w:jc w:val="both"/>
              <w:rPr>
                <w:rFonts w:ascii="Verdana" w:hAnsi="Verdana" w:cs="Arial"/>
                <w:i/>
                <w:color w:val="1F497D"/>
                <w:sz w:val="16"/>
                <w:szCs w:val="20"/>
              </w:rPr>
            </w:pPr>
          </w:p>
        </w:tc>
        <w:tc>
          <w:tcPr>
            <w:tcW w:w="8475" w:type="dxa"/>
            <w:shd w:val="clear" w:color="auto" w:fill="B8CCE4" w:themeFill="accent1" w:themeFillTint="66"/>
          </w:tcPr>
          <w:p w:rsidR="00FB449F" w:rsidRPr="00296CA9" w:rsidRDefault="33E3D0CD" w:rsidP="33E3D0CD">
            <w:pPr>
              <w:pStyle w:val="TableContents"/>
              <w:numPr>
                <w:ilvl w:val="0"/>
                <w:numId w:val="6"/>
              </w:numPr>
              <w:tabs>
                <w:tab w:val="clear" w:pos="720"/>
              </w:tabs>
              <w:autoSpaceDN w:val="0"/>
              <w:spacing w:before="120" w:after="120"/>
              <w:ind w:left="415" w:right="131"/>
              <w:jc w:val="both"/>
              <w:rPr>
                <w:rFonts w:ascii="Verdana" w:hAnsi="Verdana" w:cs="Arial"/>
                <w:color w:val="1F497D" w:themeColor="text2"/>
                <w:sz w:val="18"/>
                <w:szCs w:val="18"/>
              </w:rPr>
            </w:pPr>
            <w:r w:rsidRPr="00296CA9">
              <w:rPr>
                <w:rFonts w:ascii="Verdana" w:hAnsi="Verdana" w:cs="Arial"/>
                <w:color w:val="1F497D" w:themeColor="text2"/>
                <w:sz w:val="18"/>
                <w:szCs w:val="18"/>
              </w:rPr>
              <w:t>Engager les partenaires à diffuser de l’information sur les dispositifs de droit commun en matière de décrochage scolaire, ainsi que des éléments de suivi sur la mise en œuvre sur le territoire de l’agglomération et en particulier en faveur des élèves des quartiers</w:t>
            </w:r>
          </w:p>
          <w:p w:rsidR="00611755" w:rsidRDefault="00FB449F" w:rsidP="00AB1F69">
            <w:pPr>
              <w:pStyle w:val="TableContents"/>
              <w:numPr>
                <w:ilvl w:val="0"/>
                <w:numId w:val="6"/>
              </w:numPr>
              <w:tabs>
                <w:tab w:val="clear" w:pos="720"/>
              </w:tabs>
              <w:autoSpaceDN w:val="0"/>
              <w:spacing w:before="120" w:after="120"/>
              <w:ind w:left="415" w:right="131"/>
              <w:jc w:val="both"/>
              <w:rPr>
                <w:rFonts w:ascii="Verdana" w:hAnsi="Verdana" w:cs="Arial"/>
                <w:color w:val="1F497D" w:themeColor="text2"/>
                <w:sz w:val="18"/>
                <w:szCs w:val="18"/>
              </w:rPr>
            </w:pPr>
            <w:r>
              <w:rPr>
                <w:rFonts w:ascii="Verdana" w:hAnsi="Verdana" w:cs="Arial"/>
                <w:color w:val="1F497D" w:themeColor="text2"/>
                <w:sz w:val="18"/>
                <w:szCs w:val="18"/>
              </w:rPr>
              <w:t>Mailler les actions éducatives hors temps scolaires</w:t>
            </w:r>
            <w:r w:rsidR="005053D4">
              <w:rPr>
                <w:rFonts w:ascii="Verdana" w:hAnsi="Verdana" w:cs="Arial"/>
                <w:color w:val="1F497D" w:themeColor="text2"/>
                <w:sz w:val="18"/>
                <w:szCs w:val="18"/>
              </w:rPr>
              <w:t>,</w:t>
            </w:r>
            <w:r>
              <w:rPr>
                <w:rFonts w:ascii="Verdana" w:hAnsi="Verdana" w:cs="Arial"/>
                <w:color w:val="1F497D" w:themeColor="text2"/>
                <w:sz w:val="18"/>
                <w:szCs w:val="18"/>
              </w:rPr>
              <w:t xml:space="preserve"> conçues par les acteurs impliqués au sein des quartiers, notamment dans le cadre de la réussite éducative, et les dispositifs de droit commun relatif à la lutte contre le décrochage scolaire</w:t>
            </w:r>
          </w:p>
          <w:p w:rsidR="005C6B84" w:rsidRPr="00296CA9" w:rsidRDefault="1D6AF8A0" w:rsidP="33E3D0CD">
            <w:pPr>
              <w:pStyle w:val="TableContents"/>
              <w:numPr>
                <w:ilvl w:val="0"/>
                <w:numId w:val="6"/>
              </w:numPr>
              <w:tabs>
                <w:tab w:val="clear" w:pos="720"/>
              </w:tabs>
              <w:autoSpaceDN w:val="0"/>
              <w:spacing w:before="120" w:after="120"/>
              <w:ind w:left="415" w:right="131"/>
              <w:jc w:val="both"/>
              <w:rPr>
                <w:rFonts w:ascii="Verdana" w:hAnsi="Verdana" w:cs="Arial"/>
                <w:color w:val="1F497D" w:themeColor="text2"/>
                <w:sz w:val="18"/>
                <w:szCs w:val="18"/>
              </w:rPr>
            </w:pPr>
            <w:r w:rsidRPr="00296CA9">
              <w:rPr>
                <w:rFonts w:ascii="Verdana" w:hAnsi="Verdana" w:cs="Arial"/>
                <w:color w:val="1F497D" w:themeColor="text2"/>
                <w:sz w:val="18"/>
                <w:szCs w:val="18"/>
              </w:rPr>
              <w:t>Conduire des actions renforçant la lutte contre le décrochage scolaire en complémentarité avec les dynamiques de droit commun (cf. orientation opérationnelle 1.2.3 « donner envie d’école »)</w:t>
            </w:r>
          </w:p>
          <w:p w:rsidR="005C6B84" w:rsidRPr="00C949D0" w:rsidRDefault="1D6AF8A0" w:rsidP="33E3D0CD">
            <w:pPr>
              <w:pStyle w:val="TableContents"/>
              <w:numPr>
                <w:ilvl w:val="0"/>
                <w:numId w:val="6"/>
              </w:numPr>
              <w:tabs>
                <w:tab w:val="clear" w:pos="720"/>
              </w:tabs>
              <w:autoSpaceDN w:val="0"/>
              <w:spacing w:before="120" w:after="120"/>
              <w:ind w:left="415" w:right="131"/>
              <w:jc w:val="both"/>
              <w:rPr>
                <w:rFonts w:ascii="Verdana,Arial" w:eastAsia="Verdana,Arial" w:hAnsi="Verdana,Arial" w:cs="Verdana,Arial"/>
                <w:i/>
                <w:color w:val="1F497D" w:themeColor="text2"/>
                <w:sz w:val="18"/>
                <w:szCs w:val="18"/>
              </w:rPr>
            </w:pPr>
            <w:r w:rsidRPr="00296CA9">
              <w:rPr>
                <w:rFonts w:ascii="Verdana" w:hAnsi="Verdana" w:cs="Arial"/>
                <w:color w:val="1F497D" w:themeColor="text2"/>
                <w:sz w:val="18"/>
                <w:szCs w:val="18"/>
              </w:rPr>
              <w:t>renforcer le partenariat avec l'Education Nationale sur cette thématique</w:t>
            </w:r>
          </w:p>
        </w:tc>
      </w:tr>
      <w:tr w:rsidR="00611755" w:rsidRPr="00296CA9" w:rsidTr="1D6AF8A0">
        <w:trPr>
          <w:trHeight w:val="170"/>
        </w:trPr>
        <w:tc>
          <w:tcPr>
            <w:tcW w:w="2355" w:type="dxa"/>
            <w:shd w:val="clear" w:color="auto" w:fill="B8CCE4" w:themeFill="accent1" w:themeFillTint="66"/>
          </w:tcPr>
          <w:p w:rsidR="005F0153"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Réalisations</w:t>
            </w:r>
            <w:r w:rsidRPr="00243AF9">
              <w:rPr>
                <w:rFonts w:ascii="Verdana" w:hAnsi="Verdana" w:cs="Verdana"/>
                <w:b/>
                <w:bCs/>
                <w:color w:val="1F497D"/>
                <w:sz w:val="20"/>
                <w:szCs w:val="20"/>
              </w:rPr>
              <w:t xml:space="preserve"> </w:t>
            </w:r>
            <w:r>
              <w:rPr>
                <w:rFonts w:ascii="Verdana" w:hAnsi="Verdana" w:cs="Verdana"/>
                <w:b/>
                <w:bCs/>
                <w:color w:val="1F497D"/>
                <w:sz w:val="20"/>
                <w:szCs w:val="20"/>
              </w:rPr>
              <w:t xml:space="preserve">attendues </w:t>
            </w:r>
          </w:p>
          <w:p w:rsidR="00611755" w:rsidRPr="005F0153" w:rsidRDefault="00611755" w:rsidP="005F0153">
            <w:pPr>
              <w:pStyle w:val="TableContents"/>
              <w:spacing w:before="120" w:after="120"/>
              <w:ind w:left="71" w:right="-10"/>
              <w:rPr>
                <w:rFonts w:ascii="Verdana" w:hAnsi="Verdana" w:cs="Verdana"/>
                <w:b/>
                <w:bCs/>
                <w:color w:val="1F497D"/>
                <w:sz w:val="20"/>
                <w:szCs w:val="20"/>
              </w:rPr>
            </w:pPr>
          </w:p>
        </w:tc>
        <w:tc>
          <w:tcPr>
            <w:tcW w:w="8475" w:type="dxa"/>
            <w:shd w:val="clear" w:color="auto" w:fill="B8CCE4" w:themeFill="accent1" w:themeFillTint="66"/>
          </w:tcPr>
          <w:p w:rsidR="00AB1F69" w:rsidRPr="00296CA9" w:rsidRDefault="00AB1F69" w:rsidP="00AB1F69">
            <w:pPr>
              <w:pStyle w:val="TableContents"/>
              <w:numPr>
                <w:ilvl w:val="0"/>
                <w:numId w:val="6"/>
              </w:numPr>
              <w:tabs>
                <w:tab w:val="clear" w:pos="720"/>
              </w:tabs>
              <w:autoSpaceDN w:val="0"/>
              <w:spacing w:before="120" w:after="120"/>
              <w:ind w:left="415" w:right="131"/>
              <w:jc w:val="both"/>
              <w:rPr>
                <w:rFonts w:ascii="Verdana" w:hAnsi="Verdana" w:cs="Arial"/>
                <w:color w:val="1F497D" w:themeColor="text2"/>
                <w:sz w:val="18"/>
                <w:szCs w:val="18"/>
              </w:rPr>
            </w:pPr>
            <w:r w:rsidRPr="00AB1F69">
              <w:rPr>
                <w:rFonts w:ascii="Verdana" w:hAnsi="Verdana" w:cs="Arial"/>
                <w:color w:val="1F497D" w:themeColor="text2"/>
                <w:sz w:val="18"/>
                <w:szCs w:val="18"/>
              </w:rPr>
              <w:t xml:space="preserve">Présentation des dispositifs de lutte contre le décrochage et de leurs résultats </w:t>
            </w:r>
            <w:r>
              <w:rPr>
                <w:rFonts w:ascii="Verdana" w:hAnsi="Verdana" w:cs="Arial"/>
                <w:color w:val="1F497D" w:themeColor="text2"/>
                <w:sz w:val="18"/>
                <w:szCs w:val="18"/>
              </w:rPr>
              <w:t>lors d’un groupe de travail technique du contrat de ville</w:t>
            </w:r>
          </w:p>
          <w:p w:rsidR="00AB1F69" w:rsidRPr="00296CA9" w:rsidRDefault="1FBB015E" w:rsidP="33E3D0CD">
            <w:pPr>
              <w:pStyle w:val="TableContents"/>
              <w:numPr>
                <w:ilvl w:val="0"/>
                <w:numId w:val="6"/>
              </w:numPr>
              <w:tabs>
                <w:tab w:val="clear" w:pos="720"/>
              </w:tabs>
              <w:autoSpaceDN w:val="0"/>
              <w:spacing w:before="120" w:after="120"/>
              <w:ind w:left="415" w:right="131"/>
              <w:jc w:val="both"/>
              <w:rPr>
                <w:rFonts w:ascii="Verdana" w:hAnsi="Verdana" w:cs="Arial"/>
                <w:color w:val="1F497D" w:themeColor="text2"/>
                <w:sz w:val="18"/>
                <w:szCs w:val="18"/>
              </w:rPr>
            </w:pPr>
            <w:r w:rsidRPr="00296CA9">
              <w:rPr>
                <w:rFonts w:ascii="Verdana" w:hAnsi="Verdana" w:cs="Arial"/>
                <w:color w:val="1F497D" w:themeColor="text2"/>
                <w:sz w:val="18"/>
                <w:szCs w:val="18"/>
              </w:rPr>
              <w:t>Diffusion d’un support de présentation des dispositifs au comité opérationnel du contrat de ville, qui diffuse lui-même auprès des acteurs impliqués au sein des quartiers</w:t>
            </w:r>
          </w:p>
          <w:p w:rsidR="00AB1F69" w:rsidRPr="00296CA9" w:rsidRDefault="33E3D0CD" w:rsidP="33E3D0CD">
            <w:pPr>
              <w:pStyle w:val="TableContents"/>
              <w:numPr>
                <w:ilvl w:val="0"/>
                <w:numId w:val="6"/>
              </w:numPr>
              <w:tabs>
                <w:tab w:val="clear" w:pos="720"/>
              </w:tabs>
              <w:autoSpaceDN w:val="0"/>
              <w:spacing w:before="120" w:after="120"/>
              <w:ind w:left="415" w:right="131"/>
              <w:jc w:val="both"/>
              <w:rPr>
                <w:rFonts w:ascii="Verdana" w:hAnsi="Verdana" w:cs="Arial"/>
                <w:color w:val="1F497D" w:themeColor="text2"/>
                <w:sz w:val="18"/>
                <w:szCs w:val="18"/>
              </w:rPr>
            </w:pPr>
            <w:r w:rsidRPr="00296CA9">
              <w:rPr>
                <w:rFonts w:ascii="Verdana" w:hAnsi="Verdana" w:cs="Arial"/>
                <w:color w:val="1F497D" w:themeColor="text2"/>
                <w:sz w:val="18"/>
                <w:szCs w:val="18"/>
              </w:rPr>
              <w:t>Transmission régulière au comité opérationnel du contrat de ville d’informations sur les réalisations de ces dispositifs concernant les quartiers (partenariats, initiatives) et les parcours des jeunes des quartiers</w:t>
            </w:r>
          </w:p>
          <w:p w:rsidR="1D6AF8A0" w:rsidRPr="00296CA9" w:rsidRDefault="00C65747" w:rsidP="1D6AF8A0">
            <w:pPr>
              <w:pStyle w:val="TableContents"/>
              <w:numPr>
                <w:ilvl w:val="0"/>
                <w:numId w:val="6"/>
              </w:numPr>
              <w:spacing w:before="120" w:after="120"/>
              <w:ind w:left="415" w:right="131"/>
              <w:jc w:val="both"/>
              <w:rPr>
                <w:rFonts w:ascii="Verdana" w:hAnsi="Verdana" w:cs="Arial"/>
                <w:color w:val="1F497D" w:themeColor="text2"/>
                <w:sz w:val="18"/>
                <w:szCs w:val="18"/>
              </w:rPr>
            </w:pPr>
            <w:r>
              <w:rPr>
                <w:rFonts w:ascii="Verdana" w:hAnsi="Verdana" w:cs="Arial"/>
                <w:color w:val="1F497D" w:themeColor="text2"/>
                <w:sz w:val="18"/>
                <w:szCs w:val="18"/>
              </w:rPr>
              <w:t>Organisation</w:t>
            </w:r>
            <w:r w:rsidR="1D6AF8A0" w:rsidRPr="00296CA9">
              <w:rPr>
                <w:rFonts w:ascii="Verdana" w:hAnsi="Verdana" w:cs="Arial"/>
                <w:color w:val="1F497D" w:themeColor="text2"/>
                <w:sz w:val="18"/>
                <w:szCs w:val="18"/>
              </w:rPr>
              <w:t xml:space="preserve"> de séances de travail partenariales (dans le cadre du pôle ressource agglomération puis dans le cadre de l’animation par quartier) permettant d’identifier des complémentarités entre les actions éducatives hors temps scolaire et les dynamiques de droit commun sur le décrochage</w:t>
            </w:r>
          </w:p>
          <w:p w:rsidR="00AB1F69" w:rsidRPr="00296CA9" w:rsidRDefault="00AB1F69" w:rsidP="00AB1F69">
            <w:pPr>
              <w:pStyle w:val="TableContents"/>
              <w:numPr>
                <w:ilvl w:val="0"/>
                <w:numId w:val="6"/>
              </w:numPr>
              <w:tabs>
                <w:tab w:val="clear" w:pos="720"/>
              </w:tabs>
              <w:autoSpaceDN w:val="0"/>
              <w:spacing w:before="120" w:after="120"/>
              <w:ind w:left="415" w:right="131"/>
              <w:jc w:val="both"/>
              <w:rPr>
                <w:rFonts w:ascii="Verdana" w:hAnsi="Verdana" w:cs="Arial"/>
                <w:color w:val="1F497D" w:themeColor="text2"/>
                <w:sz w:val="18"/>
                <w:szCs w:val="18"/>
              </w:rPr>
            </w:pPr>
            <w:r w:rsidRPr="00296CA9">
              <w:rPr>
                <w:rFonts w:ascii="Verdana" w:hAnsi="Verdana" w:cs="Arial"/>
                <w:color w:val="1F497D" w:themeColor="text2"/>
                <w:sz w:val="18"/>
                <w:szCs w:val="18"/>
              </w:rPr>
              <w:t xml:space="preserve">Conduite des actions retenues </w:t>
            </w:r>
            <w:r w:rsidR="00C949D0" w:rsidRPr="00296CA9">
              <w:rPr>
                <w:rFonts w:ascii="Verdana" w:hAnsi="Verdana" w:cs="Arial"/>
                <w:color w:val="1F497D" w:themeColor="text2"/>
                <w:sz w:val="18"/>
                <w:szCs w:val="18"/>
              </w:rPr>
              <w:t>(cf. orientation opérationnelle « donner envie d’école »)</w:t>
            </w:r>
          </w:p>
        </w:tc>
      </w:tr>
      <w:tr w:rsidR="00611755" w:rsidRPr="00243AF9" w:rsidTr="1D6AF8A0">
        <w:tc>
          <w:tcPr>
            <w:tcW w:w="2355" w:type="dxa"/>
            <w:shd w:val="clear" w:color="auto" w:fill="B8CCE4" w:themeFill="accent1" w:themeFillTint="66"/>
          </w:tcPr>
          <w:p w:rsidR="005F0153"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 xml:space="preserve">Effets attendus </w:t>
            </w:r>
          </w:p>
          <w:p w:rsidR="00611755" w:rsidRPr="00611755" w:rsidRDefault="00611755" w:rsidP="005F0153">
            <w:pPr>
              <w:pStyle w:val="TableContents"/>
              <w:spacing w:before="120" w:after="120"/>
              <w:ind w:left="71" w:right="-10"/>
              <w:rPr>
                <w:rFonts w:ascii="Verdana" w:hAnsi="Verdana" w:cs="Verdana"/>
                <w:bCs/>
                <w:i/>
                <w:color w:val="1F497D"/>
                <w:sz w:val="20"/>
                <w:szCs w:val="20"/>
              </w:rPr>
            </w:pPr>
          </w:p>
        </w:tc>
        <w:tc>
          <w:tcPr>
            <w:tcW w:w="8475" w:type="dxa"/>
            <w:shd w:val="clear" w:color="auto" w:fill="B8CCE4" w:themeFill="accent1" w:themeFillTint="66"/>
          </w:tcPr>
          <w:p w:rsidR="00611755" w:rsidRPr="005C6B84" w:rsidRDefault="00AB1F69" w:rsidP="00AB1F69">
            <w:pPr>
              <w:pStyle w:val="TableContents"/>
              <w:numPr>
                <w:ilvl w:val="0"/>
                <w:numId w:val="6"/>
              </w:numPr>
              <w:tabs>
                <w:tab w:val="clear" w:pos="720"/>
              </w:tabs>
              <w:autoSpaceDN w:val="0"/>
              <w:spacing w:before="120" w:after="120"/>
              <w:ind w:left="415" w:right="131"/>
              <w:jc w:val="both"/>
              <w:rPr>
                <w:rFonts w:ascii="Verdana" w:hAnsi="Verdana" w:cs="Arial"/>
                <w:color w:val="1F497D"/>
                <w:sz w:val="18"/>
                <w:szCs w:val="20"/>
              </w:rPr>
            </w:pPr>
            <w:r w:rsidRPr="005C6B84">
              <w:rPr>
                <w:rFonts w:ascii="Verdana" w:hAnsi="Verdana" w:cs="Arial"/>
                <w:color w:val="1F497D"/>
                <w:sz w:val="18"/>
                <w:szCs w:val="20"/>
              </w:rPr>
              <w:t>Les acteurs conduisant des projets en matière éducative et plus largement de cohésion sociale et d’insertion emploi connaissent les disposit</w:t>
            </w:r>
            <w:r w:rsidR="005C6B84" w:rsidRPr="005C6B84">
              <w:rPr>
                <w:rFonts w:ascii="Verdana" w:hAnsi="Verdana" w:cs="Arial"/>
                <w:color w:val="1F497D"/>
                <w:sz w:val="18"/>
                <w:szCs w:val="20"/>
              </w:rPr>
              <w:t>ifs de décrochage scolaire</w:t>
            </w:r>
            <w:r w:rsidR="005C6B84">
              <w:rPr>
                <w:rFonts w:ascii="Verdana" w:hAnsi="Verdana" w:cs="Arial"/>
                <w:color w:val="1F497D"/>
                <w:sz w:val="18"/>
                <w:szCs w:val="20"/>
              </w:rPr>
              <w:t xml:space="preserve"> et les mobilisent en tant que de besoin</w:t>
            </w:r>
          </w:p>
          <w:p w:rsidR="005C6B84" w:rsidRDefault="005C6B84" w:rsidP="00AB1F69">
            <w:pPr>
              <w:pStyle w:val="TableContents"/>
              <w:numPr>
                <w:ilvl w:val="0"/>
                <w:numId w:val="6"/>
              </w:numPr>
              <w:tabs>
                <w:tab w:val="clear" w:pos="720"/>
              </w:tabs>
              <w:autoSpaceDN w:val="0"/>
              <w:spacing w:before="120" w:after="120"/>
              <w:ind w:left="415" w:right="131"/>
              <w:jc w:val="both"/>
              <w:rPr>
                <w:rFonts w:ascii="Verdana" w:hAnsi="Verdana" w:cs="Arial"/>
                <w:color w:val="1F497D"/>
                <w:sz w:val="20"/>
                <w:szCs w:val="20"/>
              </w:rPr>
            </w:pPr>
            <w:r>
              <w:rPr>
                <w:rFonts w:ascii="Verdana" w:hAnsi="Verdana" w:cs="Arial"/>
                <w:color w:val="1F497D"/>
                <w:sz w:val="18"/>
                <w:szCs w:val="20"/>
              </w:rPr>
              <w:t xml:space="preserve">Les actions éducatives conduites dans les quartiers hors temps scolaire, notamment dans le cadre de la réussite éducative, sont articulées et complémentaires aux </w:t>
            </w:r>
            <w:r>
              <w:rPr>
                <w:rFonts w:ascii="Verdana" w:hAnsi="Verdana" w:cs="Arial"/>
                <w:color w:val="1F497D"/>
                <w:sz w:val="18"/>
                <w:szCs w:val="20"/>
              </w:rPr>
              <w:lastRenderedPageBreak/>
              <w:t>dynamiques de droit commun relatives à la lutte contre le décrochage scolaire</w:t>
            </w:r>
          </w:p>
        </w:tc>
      </w:tr>
      <w:tr w:rsidR="00611755" w:rsidRPr="00243AF9" w:rsidTr="1D6AF8A0">
        <w:tc>
          <w:tcPr>
            <w:tcW w:w="2355" w:type="dxa"/>
            <w:shd w:val="clear" w:color="auto" w:fill="B8CCE4" w:themeFill="accent1" w:themeFillTint="66"/>
          </w:tcPr>
          <w:p w:rsidR="00611755" w:rsidRPr="00611755" w:rsidRDefault="00611755" w:rsidP="001476D1">
            <w:pPr>
              <w:pStyle w:val="TableContents"/>
              <w:spacing w:before="120" w:after="120"/>
              <w:ind w:left="71" w:right="-10"/>
              <w:rPr>
                <w:rFonts w:ascii="Verdana" w:hAnsi="Verdana" w:cs="Verdana"/>
                <w:bCs/>
                <w:i/>
                <w:color w:val="1F497D"/>
                <w:sz w:val="20"/>
                <w:szCs w:val="20"/>
              </w:rPr>
            </w:pPr>
            <w:r w:rsidRPr="00243AF9">
              <w:rPr>
                <w:rFonts w:ascii="Verdana" w:hAnsi="Verdana" w:cs="Verdana"/>
                <w:b/>
                <w:bCs/>
                <w:color w:val="1F497D"/>
                <w:sz w:val="20"/>
                <w:szCs w:val="20"/>
              </w:rPr>
              <w:lastRenderedPageBreak/>
              <w:t>Echelle </w:t>
            </w:r>
            <w:r>
              <w:rPr>
                <w:rFonts w:ascii="Verdana" w:hAnsi="Verdana" w:cs="Verdana"/>
                <w:b/>
                <w:bCs/>
                <w:color w:val="1F497D"/>
                <w:sz w:val="20"/>
                <w:szCs w:val="20"/>
              </w:rPr>
              <w:t>Territoriale</w:t>
            </w:r>
          </w:p>
        </w:tc>
        <w:tc>
          <w:tcPr>
            <w:tcW w:w="8475" w:type="dxa"/>
            <w:shd w:val="clear" w:color="auto" w:fill="B8CCE4" w:themeFill="accent1" w:themeFillTint="66"/>
          </w:tcPr>
          <w:p w:rsidR="00C949D0" w:rsidRPr="00296CA9" w:rsidRDefault="00C949D0" w:rsidP="00296CA9">
            <w:pPr>
              <w:pStyle w:val="TableContents"/>
              <w:numPr>
                <w:ilvl w:val="0"/>
                <w:numId w:val="6"/>
              </w:numPr>
              <w:tabs>
                <w:tab w:val="clear" w:pos="720"/>
              </w:tabs>
              <w:autoSpaceDN w:val="0"/>
              <w:spacing w:before="120" w:after="120"/>
              <w:ind w:left="415" w:right="131"/>
              <w:jc w:val="both"/>
              <w:rPr>
                <w:rFonts w:ascii="Verdana" w:hAnsi="Verdana" w:cs="Arial"/>
                <w:color w:val="1F497D"/>
                <w:sz w:val="20"/>
                <w:szCs w:val="20"/>
              </w:rPr>
            </w:pPr>
            <w:r>
              <w:rPr>
                <w:rFonts w:ascii="Verdana" w:hAnsi="Verdana" w:cs="Arial"/>
                <w:color w:val="1F497D"/>
                <w:sz w:val="18"/>
                <w:szCs w:val="20"/>
              </w:rPr>
              <w:t>E</w:t>
            </w:r>
            <w:r w:rsidR="005C6B84" w:rsidRPr="005C6B84">
              <w:rPr>
                <w:rFonts w:ascii="Verdana" w:hAnsi="Verdana" w:cs="Arial"/>
                <w:color w:val="1F497D"/>
                <w:sz w:val="18"/>
                <w:szCs w:val="20"/>
              </w:rPr>
              <w:t xml:space="preserve">chelle agglomération  </w:t>
            </w:r>
          </w:p>
          <w:p w:rsidR="00611755" w:rsidRPr="00243AF9" w:rsidRDefault="00C949D0" w:rsidP="00C949D0">
            <w:pPr>
              <w:pStyle w:val="TableContents"/>
              <w:numPr>
                <w:ilvl w:val="0"/>
                <w:numId w:val="6"/>
              </w:numPr>
              <w:tabs>
                <w:tab w:val="clear" w:pos="720"/>
              </w:tabs>
              <w:autoSpaceDN w:val="0"/>
              <w:spacing w:before="120" w:after="120"/>
              <w:ind w:left="415" w:right="131"/>
              <w:jc w:val="both"/>
              <w:rPr>
                <w:rFonts w:ascii="Verdana" w:hAnsi="Verdana" w:cs="Arial"/>
                <w:color w:val="1F497D"/>
                <w:sz w:val="20"/>
                <w:szCs w:val="20"/>
              </w:rPr>
            </w:pPr>
            <w:r>
              <w:rPr>
                <w:rFonts w:ascii="Verdana" w:hAnsi="Verdana" w:cs="Arial"/>
                <w:color w:val="1F497D"/>
                <w:sz w:val="18"/>
                <w:szCs w:val="20"/>
              </w:rPr>
              <w:t>E</w:t>
            </w:r>
            <w:r w:rsidR="005C6B84" w:rsidRPr="005C6B84">
              <w:rPr>
                <w:rFonts w:ascii="Verdana" w:hAnsi="Verdana" w:cs="Arial"/>
                <w:color w:val="1F497D"/>
                <w:sz w:val="18"/>
                <w:szCs w:val="20"/>
              </w:rPr>
              <w:t>chelle quartier</w:t>
            </w:r>
          </w:p>
        </w:tc>
      </w:tr>
      <w:tr w:rsidR="00611755" w:rsidRPr="00243AF9" w:rsidTr="1D6AF8A0">
        <w:tc>
          <w:tcPr>
            <w:tcW w:w="2355" w:type="dxa"/>
            <w:shd w:val="clear" w:color="auto" w:fill="B8CCE4" w:themeFill="accent1" w:themeFillTint="66"/>
          </w:tcPr>
          <w:p w:rsidR="00611755" w:rsidRDefault="00D87FB9"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Animateur</w:t>
            </w:r>
          </w:p>
          <w:p w:rsidR="00611755" w:rsidRPr="00611755" w:rsidRDefault="00611755" w:rsidP="00611755">
            <w:pPr>
              <w:pStyle w:val="TableContents"/>
              <w:spacing w:before="120" w:after="120"/>
              <w:ind w:left="71" w:right="-10"/>
              <w:rPr>
                <w:rFonts w:ascii="Verdana" w:hAnsi="Verdana" w:cs="Verdana"/>
                <w:bCs/>
                <w:i/>
                <w:color w:val="1F497D"/>
                <w:sz w:val="20"/>
                <w:szCs w:val="20"/>
              </w:rPr>
            </w:pPr>
          </w:p>
        </w:tc>
        <w:tc>
          <w:tcPr>
            <w:tcW w:w="8475" w:type="dxa"/>
            <w:shd w:val="clear" w:color="auto" w:fill="B8CCE4" w:themeFill="accent1" w:themeFillTint="66"/>
          </w:tcPr>
          <w:p w:rsidR="00C949D0" w:rsidRPr="00296CA9" w:rsidRDefault="1D6AF8A0" w:rsidP="1D6AF8A0">
            <w:pPr>
              <w:pStyle w:val="TableContents"/>
              <w:numPr>
                <w:ilvl w:val="0"/>
                <w:numId w:val="6"/>
              </w:numPr>
              <w:tabs>
                <w:tab w:val="clear" w:pos="720"/>
              </w:tabs>
              <w:autoSpaceDN w:val="0"/>
              <w:spacing w:before="120" w:after="120"/>
              <w:ind w:left="415" w:right="131"/>
              <w:jc w:val="both"/>
              <w:rPr>
                <w:rFonts w:ascii="Verdana" w:hAnsi="Verdana" w:cs="Arial"/>
                <w:color w:val="1F497D"/>
                <w:sz w:val="18"/>
                <w:szCs w:val="20"/>
              </w:rPr>
            </w:pPr>
            <w:r w:rsidRPr="00296CA9">
              <w:rPr>
                <w:rFonts w:ascii="Verdana" w:hAnsi="Verdana" w:cs="Arial"/>
                <w:color w:val="1F497D"/>
                <w:sz w:val="18"/>
                <w:szCs w:val="20"/>
              </w:rPr>
              <w:t>Education nationale (responsables des plateformes</w:t>
            </w:r>
            <w:r w:rsidR="00C65747">
              <w:rPr>
                <w:rFonts w:ascii="Verdana" w:hAnsi="Verdana" w:cs="Arial"/>
                <w:color w:val="1F497D"/>
                <w:sz w:val="18"/>
                <w:szCs w:val="20"/>
              </w:rPr>
              <w:t xml:space="preserve"> et </w:t>
            </w:r>
            <w:r w:rsidR="00C65747" w:rsidRPr="007C51E2">
              <w:rPr>
                <w:rFonts w:ascii="Verdana" w:hAnsi="Verdana" w:cs="Arial"/>
                <w:color w:val="1F497D" w:themeColor="text2"/>
                <w:sz w:val="18"/>
                <w:szCs w:val="18"/>
              </w:rPr>
              <w:t>assistante</w:t>
            </w:r>
            <w:r w:rsidR="00C65747">
              <w:rPr>
                <w:rFonts w:ascii="Verdana" w:hAnsi="Verdana" w:cs="Arial"/>
                <w:color w:val="FF0000"/>
                <w:sz w:val="18"/>
                <w:szCs w:val="20"/>
              </w:rPr>
              <w:t xml:space="preserve"> </w:t>
            </w:r>
            <w:r w:rsidR="00C65747" w:rsidRPr="007C51E2">
              <w:rPr>
                <w:rFonts w:ascii="Verdana" w:hAnsi="Verdana" w:cs="Arial"/>
                <w:color w:val="1F497D" w:themeColor="text2"/>
                <w:sz w:val="18"/>
                <w:szCs w:val="18"/>
              </w:rPr>
              <w:t>de plateforme</w:t>
            </w:r>
            <w:r w:rsidRPr="00296CA9">
              <w:rPr>
                <w:rFonts w:ascii="Verdana" w:hAnsi="Verdana" w:cs="Arial"/>
                <w:color w:val="1F497D"/>
                <w:sz w:val="18"/>
                <w:szCs w:val="20"/>
              </w:rPr>
              <w:t>)</w:t>
            </w:r>
          </w:p>
          <w:p w:rsidR="00C949D0" w:rsidRPr="00C949D0" w:rsidRDefault="1D6AF8A0" w:rsidP="1D6AF8A0">
            <w:pPr>
              <w:pStyle w:val="TableContents"/>
              <w:numPr>
                <w:ilvl w:val="0"/>
                <w:numId w:val="6"/>
              </w:numPr>
              <w:tabs>
                <w:tab w:val="clear" w:pos="720"/>
              </w:tabs>
              <w:autoSpaceDN w:val="0"/>
              <w:spacing w:before="120" w:after="120"/>
              <w:ind w:left="415" w:right="131"/>
              <w:jc w:val="both"/>
              <w:rPr>
                <w:rFonts w:ascii="Verdana,Arial" w:eastAsia="Verdana,Arial" w:hAnsi="Verdana,Arial" w:cs="Verdana,Arial"/>
                <w:color w:val="1F497D"/>
                <w:sz w:val="20"/>
                <w:szCs w:val="20"/>
              </w:rPr>
            </w:pPr>
            <w:r w:rsidRPr="00296CA9">
              <w:rPr>
                <w:rFonts w:ascii="Verdana" w:hAnsi="Verdana" w:cs="Arial"/>
                <w:color w:val="1F497D"/>
                <w:sz w:val="18"/>
                <w:szCs w:val="20"/>
              </w:rPr>
              <w:t>Tour(s)Plus (Pôle ressource du contrat de ville), en lien avec les villes pour l'échange de pratiques</w:t>
            </w:r>
          </w:p>
        </w:tc>
      </w:tr>
      <w:tr w:rsidR="00611755" w:rsidRPr="00243AF9" w:rsidTr="1D6AF8A0">
        <w:trPr>
          <w:trHeight w:val="95"/>
        </w:trPr>
        <w:tc>
          <w:tcPr>
            <w:tcW w:w="2355" w:type="dxa"/>
            <w:shd w:val="clear" w:color="auto" w:fill="B8CCE4" w:themeFill="accent1" w:themeFillTint="66"/>
          </w:tcPr>
          <w:p w:rsidR="00611755"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 xml:space="preserve">Partenaires </w:t>
            </w:r>
            <w:r w:rsidRPr="00243AF9">
              <w:rPr>
                <w:rFonts w:ascii="Verdana" w:hAnsi="Verdana" w:cs="Verdana"/>
                <w:b/>
                <w:bCs/>
                <w:color w:val="1F497D"/>
                <w:sz w:val="20"/>
                <w:szCs w:val="20"/>
              </w:rPr>
              <w:t>mobilisable</w:t>
            </w:r>
            <w:r>
              <w:rPr>
                <w:rFonts w:ascii="Verdana" w:hAnsi="Verdana" w:cs="Verdana"/>
                <w:b/>
                <w:bCs/>
                <w:color w:val="1F497D"/>
                <w:sz w:val="20"/>
                <w:szCs w:val="20"/>
              </w:rPr>
              <w:t>s (dont habitants)</w:t>
            </w:r>
          </w:p>
          <w:p w:rsidR="00611755"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Dispositifs mobilisables</w:t>
            </w:r>
          </w:p>
          <w:p w:rsidR="00611755" w:rsidRPr="00611755" w:rsidRDefault="00611755" w:rsidP="00611755">
            <w:pPr>
              <w:pStyle w:val="TableContents"/>
              <w:spacing w:before="120" w:after="120"/>
              <w:ind w:left="71" w:right="-10"/>
              <w:rPr>
                <w:rFonts w:ascii="Verdana" w:hAnsi="Verdana" w:cs="Verdana"/>
                <w:bCs/>
                <w:i/>
                <w:color w:val="1F497D"/>
                <w:sz w:val="20"/>
                <w:szCs w:val="20"/>
              </w:rPr>
            </w:pPr>
          </w:p>
        </w:tc>
        <w:tc>
          <w:tcPr>
            <w:tcW w:w="8475" w:type="dxa"/>
            <w:shd w:val="clear" w:color="auto" w:fill="B8CCE4" w:themeFill="accent1" w:themeFillTint="66"/>
          </w:tcPr>
          <w:p w:rsidR="00CF3A28" w:rsidRPr="00296CA9" w:rsidRDefault="1D6AF8A0" w:rsidP="33E3D0CD">
            <w:pPr>
              <w:pStyle w:val="TableContents"/>
              <w:numPr>
                <w:ilvl w:val="0"/>
                <w:numId w:val="6"/>
              </w:numPr>
              <w:tabs>
                <w:tab w:val="clear" w:pos="720"/>
              </w:tabs>
              <w:autoSpaceDN w:val="0"/>
              <w:spacing w:before="120" w:after="120"/>
              <w:ind w:left="415" w:right="131"/>
              <w:jc w:val="both"/>
              <w:rPr>
                <w:rFonts w:ascii="Verdana" w:hAnsi="Verdana" w:cs="Arial"/>
                <w:color w:val="1F497D"/>
                <w:sz w:val="18"/>
                <w:szCs w:val="20"/>
              </w:rPr>
            </w:pPr>
            <w:r w:rsidRPr="00296CA9">
              <w:rPr>
                <w:rFonts w:ascii="Verdana" w:hAnsi="Verdana" w:cs="Arial"/>
                <w:color w:val="1F497D"/>
                <w:sz w:val="18"/>
                <w:szCs w:val="20"/>
              </w:rPr>
              <w:t>Education nationale (responsable des plate- forme de suivi et d’appui aux décrocheurs</w:t>
            </w:r>
            <w:r w:rsidR="00C65747">
              <w:rPr>
                <w:rFonts w:ascii="Verdana" w:hAnsi="Verdana" w:cs="Arial"/>
                <w:color w:val="1F497D"/>
                <w:sz w:val="18"/>
                <w:szCs w:val="20"/>
              </w:rPr>
              <w:t>; référents décrochage scolaire</w:t>
            </w:r>
            <w:r w:rsidR="00D34F56">
              <w:rPr>
                <w:rFonts w:ascii="Verdana" w:hAnsi="Verdana" w:cs="Arial"/>
                <w:color w:val="1F497D"/>
                <w:sz w:val="18"/>
                <w:szCs w:val="20"/>
              </w:rPr>
              <w:t>), Région</w:t>
            </w:r>
            <w:bookmarkStart w:id="0" w:name="_GoBack"/>
            <w:bookmarkEnd w:id="0"/>
            <w:r w:rsidRPr="00296CA9">
              <w:rPr>
                <w:rFonts w:ascii="Verdana" w:hAnsi="Verdana" w:cs="Arial"/>
                <w:color w:val="1F497D"/>
                <w:sz w:val="18"/>
                <w:szCs w:val="20"/>
              </w:rPr>
              <w:t>, Etat (DRJSCS), Mission locale</w:t>
            </w:r>
            <w:r w:rsidR="00C65747">
              <w:rPr>
                <w:rFonts w:ascii="Verdana" w:hAnsi="Verdana" w:cs="Arial"/>
                <w:color w:val="1F497D"/>
                <w:sz w:val="18"/>
                <w:szCs w:val="20"/>
              </w:rPr>
              <w:t xml:space="preserve"> </w:t>
            </w:r>
            <w:r w:rsidR="00C65747" w:rsidRPr="007C51E2">
              <w:rPr>
                <w:rFonts w:ascii="Verdana" w:hAnsi="Verdana" w:cs="Arial"/>
                <w:color w:val="1F497D" w:themeColor="text2"/>
                <w:sz w:val="18"/>
                <w:szCs w:val="18"/>
              </w:rPr>
              <w:t xml:space="preserve">et autres structures du SPRO </w:t>
            </w:r>
            <w:r w:rsidRPr="007C51E2">
              <w:rPr>
                <w:rFonts w:ascii="Verdana" w:hAnsi="Verdana" w:cs="Arial"/>
                <w:color w:val="1F497D" w:themeColor="text2"/>
                <w:sz w:val="18"/>
                <w:szCs w:val="18"/>
              </w:rPr>
              <w:t>, Conseil départemental (éducateur de prévention spéci</w:t>
            </w:r>
            <w:r w:rsidRPr="00296CA9">
              <w:rPr>
                <w:rFonts w:ascii="Verdana" w:hAnsi="Verdana" w:cs="Arial"/>
                <w:color w:val="1F497D"/>
                <w:sz w:val="18"/>
                <w:szCs w:val="20"/>
              </w:rPr>
              <w:t>alisée...), SMJ, maison des adolescents...</w:t>
            </w:r>
          </w:p>
          <w:p w:rsidR="00CF3A28" w:rsidRPr="00296CA9" w:rsidRDefault="33E3D0CD" w:rsidP="33E3D0CD">
            <w:pPr>
              <w:pStyle w:val="TableContents"/>
              <w:numPr>
                <w:ilvl w:val="0"/>
                <w:numId w:val="6"/>
              </w:numPr>
              <w:tabs>
                <w:tab w:val="clear" w:pos="720"/>
              </w:tabs>
              <w:autoSpaceDN w:val="0"/>
              <w:spacing w:before="120" w:after="120"/>
              <w:ind w:left="415" w:right="131"/>
              <w:jc w:val="both"/>
              <w:rPr>
                <w:rFonts w:ascii="Verdana" w:hAnsi="Verdana" w:cs="Arial"/>
                <w:color w:val="1F497D"/>
                <w:sz w:val="18"/>
                <w:szCs w:val="20"/>
              </w:rPr>
            </w:pPr>
            <w:r w:rsidRPr="00296CA9">
              <w:rPr>
                <w:rFonts w:ascii="Verdana" w:hAnsi="Verdana" w:cs="Arial"/>
                <w:color w:val="1F497D"/>
                <w:sz w:val="18"/>
                <w:szCs w:val="20"/>
              </w:rPr>
              <w:t>Acteurs à informer : pilotes et animateurs de la politique de la ville, acteurs de quartier impliqués sur les enjeux de cohésion sociale, d’insertion, emploi, développement économique voire de développement urbain.</w:t>
            </w:r>
          </w:p>
          <w:p w:rsidR="00CF3A28" w:rsidRPr="00296CA9" w:rsidRDefault="00C65747" w:rsidP="33E3D0CD">
            <w:pPr>
              <w:pStyle w:val="TableContents"/>
              <w:numPr>
                <w:ilvl w:val="0"/>
                <w:numId w:val="6"/>
              </w:numPr>
              <w:tabs>
                <w:tab w:val="clear" w:pos="720"/>
              </w:tabs>
              <w:autoSpaceDN w:val="0"/>
              <w:spacing w:before="120" w:after="120"/>
              <w:ind w:left="415" w:right="131"/>
              <w:jc w:val="both"/>
              <w:rPr>
                <w:rFonts w:ascii="Verdana" w:hAnsi="Verdana" w:cs="Arial"/>
                <w:color w:val="1F497D"/>
                <w:sz w:val="18"/>
                <w:szCs w:val="20"/>
              </w:rPr>
            </w:pPr>
            <w:r>
              <w:rPr>
                <w:rFonts w:ascii="Verdana" w:hAnsi="Verdana" w:cs="Arial"/>
                <w:color w:val="1F497D"/>
                <w:sz w:val="18"/>
                <w:szCs w:val="20"/>
              </w:rPr>
              <w:t>O</w:t>
            </w:r>
            <w:r w:rsidR="1D6AF8A0" w:rsidRPr="00296CA9">
              <w:rPr>
                <w:rFonts w:ascii="Verdana" w:hAnsi="Verdana" w:cs="Arial"/>
                <w:color w:val="1F497D"/>
                <w:sz w:val="18"/>
                <w:szCs w:val="20"/>
              </w:rPr>
              <w:t>util de repérage :</w:t>
            </w:r>
            <w:r w:rsidR="00296CA9">
              <w:rPr>
                <w:rFonts w:ascii="Verdana" w:hAnsi="Verdana" w:cs="Arial"/>
                <w:color w:val="1F497D"/>
                <w:sz w:val="18"/>
                <w:szCs w:val="20"/>
              </w:rPr>
              <w:t xml:space="preserve"> </w:t>
            </w:r>
            <w:r w:rsidR="1D6AF8A0" w:rsidRPr="00296CA9">
              <w:rPr>
                <w:rFonts w:ascii="Verdana" w:hAnsi="Verdana" w:cs="Arial"/>
                <w:color w:val="1F497D"/>
                <w:sz w:val="18"/>
                <w:szCs w:val="20"/>
              </w:rPr>
              <w:t>le système interministériel d’échanges d’information</w:t>
            </w:r>
            <w:r>
              <w:rPr>
                <w:rFonts w:ascii="Verdana" w:hAnsi="Verdana" w:cs="Arial"/>
                <w:color w:val="FF0000"/>
                <w:sz w:val="18"/>
                <w:szCs w:val="20"/>
              </w:rPr>
              <w:t>s</w:t>
            </w:r>
            <w:r w:rsidR="1D6AF8A0" w:rsidRPr="00296CA9">
              <w:rPr>
                <w:rFonts w:ascii="Verdana" w:hAnsi="Verdana" w:cs="Arial"/>
                <w:color w:val="1F497D"/>
                <w:sz w:val="18"/>
                <w:szCs w:val="20"/>
              </w:rPr>
              <w:t xml:space="preserve"> afférent ; </w:t>
            </w:r>
          </w:p>
          <w:p w:rsidR="00CF3A28" w:rsidRPr="00CF3A28" w:rsidRDefault="1D6AF8A0" w:rsidP="33E3D0CD">
            <w:pPr>
              <w:pStyle w:val="TableContents"/>
              <w:numPr>
                <w:ilvl w:val="0"/>
                <w:numId w:val="6"/>
              </w:numPr>
              <w:tabs>
                <w:tab w:val="clear" w:pos="720"/>
              </w:tabs>
              <w:autoSpaceDN w:val="0"/>
              <w:spacing w:before="120" w:after="120"/>
              <w:ind w:left="415" w:right="131"/>
              <w:jc w:val="both"/>
              <w:rPr>
                <w:rFonts w:ascii="Verdana,Arial" w:eastAsia="Verdana,Arial" w:hAnsi="Verdana,Arial" w:cs="Verdana,Arial"/>
                <w:color w:val="1F497D"/>
                <w:sz w:val="18"/>
                <w:szCs w:val="18"/>
              </w:rPr>
            </w:pPr>
            <w:r w:rsidRPr="00296CA9">
              <w:rPr>
                <w:rFonts w:ascii="Verdana" w:hAnsi="Verdana" w:cs="Arial"/>
                <w:color w:val="1F497D"/>
                <w:sz w:val="18"/>
                <w:szCs w:val="20"/>
              </w:rPr>
              <w:t xml:space="preserve">Dispositifs concernés : </w:t>
            </w:r>
            <w:r w:rsidR="00C65747" w:rsidRPr="007C51E2">
              <w:rPr>
                <w:rFonts w:ascii="Verdana" w:hAnsi="Verdana" w:cs="Arial"/>
                <w:color w:val="1F497D" w:themeColor="text2"/>
                <w:sz w:val="18"/>
                <w:szCs w:val="18"/>
              </w:rPr>
              <w:t xml:space="preserve">l’opération régionale partenariale « assure ta rentrée » ; </w:t>
            </w:r>
            <w:r w:rsidRPr="007C51E2">
              <w:rPr>
                <w:rFonts w:ascii="Verdana" w:hAnsi="Verdana" w:cs="Arial"/>
                <w:color w:val="1F497D" w:themeColor="text2"/>
                <w:sz w:val="18"/>
                <w:szCs w:val="18"/>
              </w:rPr>
              <w:t>la mission de lutte contre le décrochage scolaire, ma « seconde chance » (service en ligne d’orientation pour les jeunes en décrochage scolaire) ; « droit au retour en formation</w:t>
            </w:r>
            <w:r w:rsidR="00C65747" w:rsidRPr="007C51E2">
              <w:rPr>
                <w:rFonts w:ascii="Verdana" w:hAnsi="Verdana" w:cs="Arial"/>
                <w:color w:val="1F497D" w:themeColor="text2"/>
                <w:sz w:val="18"/>
                <w:szCs w:val="18"/>
              </w:rPr>
              <w:t xml:space="preserve"> initiale</w:t>
            </w:r>
            <w:r w:rsidRPr="007C51E2">
              <w:rPr>
                <w:rFonts w:ascii="Verdana" w:hAnsi="Verdana" w:cs="Arial"/>
                <w:color w:val="1F497D" w:themeColor="text2"/>
                <w:sz w:val="18"/>
                <w:szCs w:val="18"/>
              </w:rPr>
              <w:t> » (Etat).</w:t>
            </w:r>
            <w:r w:rsidRPr="00296CA9">
              <w:rPr>
                <w:rFonts w:ascii="Verdana" w:hAnsi="Verdana" w:cs="Arial"/>
                <w:color w:val="1F497D"/>
                <w:sz w:val="18"/>
                <w:szCs w:val="20"/>
              </w:rPr>
              <w:t>..</w:t>
            </w:r>
          </w:p>
        </w:tc>
      </w:tr>
      <w:tr w:rsidR="00611755" w:rsidRPr="00243AF9" w:rsidTr="1D6AF8A0">
        <w:tc>
          <w:tcPr>
            <w:tcW w:w="2355" w:type="dxa"/>
            <w:shd w:val="clear" w:color="auto" w:fill="B8CCE4" w:themeFill="accent1" w:themeFillTint="66"/>
          </w:tcPr>
          <w:p w:rsidR="00611755" w:rsidRPr="00243AF9" w:rsidRDefault="00611755" w:rsidP="00296CA9">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Financements mobilisables</w:t>
            </w:r>
          </w:p>
        </w:tc>
        <w:tc>
          <w:tcPr>
            <w:tcW w:w="8475" w:type="dxa"/>
            <w:shd w:val="clear" w:color="auto" w:fill="B8CCE4" w:themeFill="accent1" w:themeFillTint="66"/>
          </w:tcPr>
          <w:p w:rsidR="00CF3A28" w:rsidRPr="00243AF9" w:rsidRDefault="00CF3A28" w:rsidP="00CF3A28">
            <w:pPr>
              <w:pStyle w:val="TableContents"/>
              <w:autoSpaceDN w:val="0"/>
              <w:spacing w:before="120" w:after="120"/>
              <w:ind w:right="131"/>
              <w:jc w:val="both"/>
              <w:rPr>
                <w:rFonts w:ascii="Verdana" w:hAnsi="Verdana" w:cs="Arial"/>
                <w:color w:val="1F497D"/>
                <w:sz w:val="20"/>
                <w:szCs w:val="20"/>
              </w:rPr>
            </w:pPr>
          </w:p>
        </w:tc>
      </w:tr>
      <w:tr w:rsidR="00611755" w:rsidRPr="00243AF9" w:rsidTr="1D6AF8A0">
        <w:trPr>
          <w:trHeight w:val="272"/>
        </w:trPr>
        <w:tc>
          <w:tcPr>
            <w:tcW w:w="2355" w:type="dxa"/>
            <w:shd w:val="clear" w:color="auto" w:fill="B8CCE4" w:themeFill="accent1" w:themeFillTint="66"/>
          </w:tcPr>
          <w:p w:rsidR="00611755" w:rsidRDefault="00611755" w:rsidP="00611755">
            <w:pPr>
              <w:pStyle w:val="TableContents"/>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Calendrier</w:t>
            </w:r>
          </w:p>
          <w:p w:rsidR="00611755" w:rsidRPr="00611755" w:rsidRDefault="00611755" w:rsidP="00296CA9">
            <w:pPr>
              <w:pStyle w:val="TableContents"/>
              <w:spacing w:before="120" w:after="120"/>
              <w:ind w:right="-10"/>
              <w:rPr>
                <w:rFonts w:ascii="Verdana" w:hAnsi="Verdana" w:cs="Verdana"/>
                <w:bCs/>
                <w:i/>
                <w:color w:val="1F497D"/>
                <w:sz w:val="20"/>
                <w:szCs w:val="20"/>
              </w:rPr>
            </w:pPr>
          </w:p>
        </w:tc>
        <w:tc>
          <w:tcPr>
            <w:tcW w:w="8475" w:type="dxa"/>
            <w:shd w:val="clear" w:color="auto" w:fill="B8CCE4" w:themeFill="accent1" w:themeFillTint="66"/>
          </w:tcPr>
          <w:p w:rsidR="00CF3A28" w:rsidRDefault="00CF3A28" w:rsidP="00CF3A28">
            <w:pPr>
              <w:pStyle w:val="TableContents"/>
              <w:numPr>
                <w:ilvl w:val="0"/>
                <w:numId w:val="6"/>
              </w:numPr>
              <w:tabs>
                <w:tab w:val="clear" w:pos="720"/>
              </w:tabs>
              <w:autoSpaceDN w:val="0"/>
              <w:spacing w:before="120" w:after="120"/>
              <w:ind w:left="415" w:right="131"/>
              <w:jc w:val="both"/>
              <w:rPr>
                <w:rFonts w:ascii="Verdana" w:hAnsi="Verdana" w:cs="Arial"/>
                <w:color w:val="1F497D"/>
                <w:sz w:val="18"/>
                <w:szCs w:val="20"/>
              </w:rPr>
            </w:pPr>
            <w:r w:rsidRPr="00CF3A28">
              <w:rPr>
                <w:rFonts w:ascii="Verdana" w:hAnsi="Verdana" w:cs="Arial"/>
                <w:color w:val="1F497D"/>
                <w:sz w:val="18"/>
                <w:szCs w:val="20"/>
              </w:rPr>
              <w:t>2016 : diffusion information, maillage, identification d’actions</w:t>
            </w:r>
          </w:p>
          <w:p w:rsidR="00611755" w:rsidRPr="00CF3A28" w:rsidRDefault="00CF3A28" w:rsidP="00CF3A28">
            <w:pPr>
              <w:pStyle w:val="TableContents"/>
              <w:numPr>
                <w:ilvl w:val="0"/>
                <w:numId w:val="6"/>
              </w:numPr>
              <w:tabs>
                <w:tab w:val="clear" w:pos="720"/>
              </w:tabs>
              <w:autoSpaceDN w:val="0"/>
              <w:spacing w:before="120" w:after="120"/>
              <w:ind w:left="415" w:right="131"/>
              <w:jc w:val="both"/>
              <w:rPr>
                <w:rFonts w:ascii="Verdana" w:hAnsi="Verdana" w:cs="Arial"/>
                <w:color w:val="1F497D"/>
                <w:sz w:val="18"/>
                <w:szCs w:val="20"/>
              </w:rPr>
            </w:pPr>
            <w:r w:rsidRPr="00CF3A28">
              <w:rPr>
                <w:rFonts w:ascii="Verdana" w:hAnsi="Verdana" w:cs="Arial"/>
                <w:color w:val="1F497D"/>
                <w:sz w:val="18"/>
                <w:szCs w:val="20"/>
              </w:rPr>
              <w:t>2017 et ensuite : diffusion régulière des résultats, évaluations concomitantes</w:t>
            </w:r>
          </w:p>
        </w:tc>
      </w:tr>
      <w:tr w:rsidR="005F0153" w:rsidRPr="00243AF9" w:rsidTr="1D6AF8A0">
        <w:tc>
          <w:tcPr>
            <w:tcW w:w="2355" w:type="dxa"/>
            <w:shd w:val="clear" w:color="auto" w:fill="B8CCE4" w:themeFill="accent1" w:themeFillTint="66"/>
          </w:tcPr>
          <w:p w:rsidR="005F0153" w:rsidRDefault="005F0153" w:rsidP="005F0153">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indicateurs de réalisation</w:t>
            </w:r>
          </w:p>
          <w:p w:rsidR="005F0153" w:rsidRDefault="005F0153" w:rsidP="00D87FB9">
            <w:pPr>
              <w:pStyle w:val="TableContents"/>
              <w:spacing w:before="120" w:after="120"/>
              <w:ind w:left="71" w:right="-10"/>
              <w:rPr>
                <w:rFonts w:ascii="Verdana" w:hAnsi="Verdana" w:cs="Verdana"/>
                <w:b/>
                <w:bCs/>
                <w:color w:val="1F497D"/>
                <w:sz w:val="20"/>
                <w:szCs w:val="20"/>
              </w:rPr>
            </w:pPr>
          </w:p>
        </w:tc>
        <w:tc>
          <w:tcPr>
            <w:tcW w:w="8475" w:type="dxa"/>
            <w:shd w:val="clear" w:color="auto" w:fill="B8CCE4" w:themeFill="accent1" w:themeFillTint="66"/>
          </w:tcPr>
          <w:p w:rsidR="005F0153" w:rsidRPr="00CF3A28" w:rsidRDefault="00CF3A28" w:rsidP="00CF3A28">
            <w:pPr>
              <w:pStyle w:val="TableContents"/>
              <w:numPr>
                <w:ilvl w:val="0"/>
                <w:numId w:val="6"/>
              </w:numPr>
              <w:tabs>
                <w:tab w:val="clear" w:pos="720"/>
              </w:tabs>
              <w:autoSpaceDN w:val="0"/>
              <w:spacing w:before="120" w:after="120"/>
              <w:ind w:left="415" w:right="131"/>
              <w:jc w:val="both"/>
              <w:rPr>
                <w:rFonts w:ascii="Verdana" w:hAnsi="Verdana" w:cs="Arial"/>
                <w:color w:val="1F497D"/>
                <w:sz w:val="18"/>
                <w:szCs w:val="20"/>
              </w:rPr>
            </w:pPr>
            <w:r w:rsidRPr="00CF3A28">
              <w:rPr>
                <w:rFonts w:ascii="Verdana" w:hAnsi="Verdana" w:cs="Arial"/>
                <w:color w:val="1F497D"/>
                <w:sz w:val="18"/>
                <w:szCs w:val="20"/>
              </w:rPr>
              <w:t>Existence de supports d’information sur les dispositifs de droit commun</w:t>
            </w:r>
          </w:p>
          <w:p w:rsidR="00CF3A28" w:rsidRPr="00296CA9" w:rsidRDefault="00CF3A28" w:rsidP="00CF3A28">
            <w:pPr>
              <w:pStyle w:val="TableContents"/>
              <w:numPr>
                <w:ilvl w:val="0"/>
                <w:numId w:val="6"/>
              </w:numPr>
              <w:tabs>
                <w:tab w:val="clear" w:pos="720"/>
              </w:tabs>
              <w:autoSpaceDN w:val="0"/>
              <w:spacing w:before="120" w:after="120"/>
              <w:ind w:left="415" w:right="131"/>
              <w:jc w:val="both"/>
              <w:rPr>
                <w:rFonts w:ascii="Verdana" w:hAnsi="Verdana" w:cs="Arial"/>
                <w:color w:val="1F497D"/>
                <w:sz w:val="18"/>
                <w:szCs w:val="20"/>
              </w:rPr>
            </w:pPr>
            <w:r>
              <w:rPr>
                <w:rFonts w:ascii="Verdana" w:hAnsi="Verdana" w:cs="Arial"/>
                <w:color w:val="1F497D"/>
                <w:sz w:val="18"/>
                <w:szCs w:val="20"/>
              </w:rPr>
              <w:t xml:space="preserve">Diffusion d’informations sur les résultats de ces dispositifs </w:t>
            </w:r>
            <w:r w:rsidRPr="00296CA9">
              <w:rPr>
                <w:rFonts w:ascii="Verdana" w:hAnsi="Verdana" w:cs="Arial"/>
                <w:color w:val="1F497D"/>
                <w:sz w:val="18"/>
                <w:szCs w:val="20"/>
              </w:rPr>
              <w:t xml:space="preserve"> </w:t>
            </w:r>
          </w:p>
          <w:p w:rsidR="00CF3A28" w:rsidRPr="00296CA9" w:rsidRDefault="33E3D0CD" w:rsidP="33E3D0CD">
            <w:pPr>
              <w:pStyle w:val="TableContents"/>
              <w:numPr>
                <w:ilvl w:val="0"/>
                <w:numId w:val="6"/>
              </w:numPr>
              <w:tabs>
                <w:tab w:val="clear" w:pos="720"/>
              </w:tabs>
              <w:autoSpaceDN w:val="0"/>
              <w:spacing w:before="120" w:after="120"/>
              <w:ind w:left="415" w:right="131"/>
              <w:jc w:val="both"/>
              <w:rPr>
                <w:rFonts w:ascii="Verdana" w:hAnsi="Verdana" w:cs="Arial"/>
                <w:color w:val="1F497D"/>
                <w:sz w:val="18"/>
                <w:szCs w:val="20"/>
              </w:rPr>
            </w:pPr>
            <w:r w:rsidRPr="00296CA9">
              <w:rPr>
                <w:rFonts w:ascii="Verdana" w:hAnsi="Verdana" w:cs="Arial"/>
                <w:color w:val="1F497D"/>
                <w:sz w:val="18"/>
                <w:szCs w:val="20"/>
              </w:rPr>
              <w:t>Séances de travail partenariales</w:t>
            </w:r>
          </w:p>
          <w:p w:rsidR="00CF3A28" w:rsidRDefault="00C65747" w:rsidP="33E3D0CD">
            <w:pPr>
              <w:pStyle w:val="TableContents"/>
              <w:numPr>
                <w:ilvl w:val="0"/>
                <w:numId w:val="6"/>
              </w:numPr>
              <w:tabs>
                <w:tab w:val="clear" w:pos="720"/>
              </w:tabs>
              <w:autoSpaceDN w:val="0"/>
              <w:spacing w:before="120" w:after="120"/>
              <w:ind w:left="415" w:right="131"/>
              <w:jc w:val="both"/>
              <w:rPr>
                <w:rFonts w:ascii="Verdana,Arial" w:eastAsia="Verdana,Arial" w:hAnsi="Verdana,Arial" w:cs="Verdana,Arial"/>
                <w:color w:val="1F497D"/>
                <w:sz w:val="20"/>
                <w:szCs w:val="20"/>
              </w:rPr>
            </w:pPr>
            <w:r>
              <w:rPr>
                <w:rFonts w:ascii="Verdana" w:hAnsi="Verdana" w:cs="Arial"/>
                <w:color w:val="1F497D"/>
                <w:sz w:val="18"/>
                <w:szCs w:val="20"/>
              </w:rPr>
              <w:t>N</w:t>
            </w:r>
            <w:r w:rsidR="33E3D0CD" w:rsidRPr="00296CA9">
              <w:rPr>
                <w:rFonts w:ascii="Verdana" w:hAnsi="Verdana" w:cs="Arial"/>
                <w:color w:val="1F497D"/>
                <w:sz w:val="18"/>
                <w:szCs w:val="20"/>
              </w:rPr>
              <w:t>ombre de jeunes bénéficiant des dispositifs de lutte contre le décrochage scolaire, et son évolution au fil du temps</w:t>
            </w:r>
          </w:p>
        </w:tc>
      </w:tr>
      <w:tr w:rsidR="00D87FB9" w:rsidRPr="00243AF9" w:rsidTr="1D6AF8A0">
        <w:tc>
          <w:tcPr>
            <w:tcW w:w="2355" w:type="dxa"/>
            <w:shd w:val="clear" w:color="auto" w:fill="B8CCE4" w:themeFill="accent1" w:themeFillTint="66"/>
          </w:tcPr>
          <w:p w:rsidR="00D87FB9" w:rsidRDefault="00D87FB9" w:rsidP="00D87FB9">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Indicateurs d’effets</w:t>
            </w:r>
          </w:p>
          <w:p w:rsidR="00D87FB9" w:rsidRDefault="00D87FB9" w:rsidP="00D87FB9">
            <w:pPr>
              <w:pStyle w:val="TableContents"/>
              <w:spacing w:before="120" w:after="120"/>
              <w:ind w:left="71" w:right="-10"/>
              <w:rPr>
                <w:rFonts w:ascii="Verdana" w:hAnsi="Verdana" w:cs="Verdana"/>
                <w:b/>
                <w:bCs/>
                <w:color w:val="1F497D"/>
                <w:sz w:val="20"/>
                <w:szCs w:val="20"/>
              </w:rPr>
            </w:pPr>
          </w:p>
        </w:tc>
        <w:tc>
          <w:tcPr>
            <w:tcW w:w="8475" w:type="dxa"/>
            <w:shd w:val="clear" w:color="auto" w:fill="B8CCE4" w:themeFill="accent1" w:themeFillTint="66"/>
          </w:tcPr>
          <w:p w:rsidR="00CF3A28" w:rsidRPr="00CF3A28" w:rsidRDefault="00CF3A28" w:rsidP="00CF3A28">
            <w:pPr>
              <w:pStyle w:val="TableContents"/>
              <w:numPr>
                <w:ilvl w:val="0"/>
                <w:numId w:val="6"/>
              </w:numPr>
              <w:tabs>
                <w:tab w:val="clear" w:pos="720"/>
              </w:tabs>
              <w:autoSpaceDN w:val="0"/>
              <w:spacing w:before="120" w:after="120"/>
              <w:ind w:left="415" w:right="131"/>
              <w:jc w:val="both"/>
              <w:rPr>
                <w:rFonts w:ascii="Verdana" w:hAnsi="Verdana" w:cs="Arial"/>
                <w:color w:val="1F497D"/>
                <w:sz w:val="18"/>
                <w:szCs w:val="20"/>
              </w:rPr>
            </w:pPr>
            <w:r w:rsidRPr="00CF3A28">
              <w:rPr>
                <w:rFonts w:ascii="Verdana" w:hAnsi="Verdana" w:cs="Arial"/>
                <w:color w:val="1F497D"/>
                <w:sz w:val="18"/>
                <w:szCs w:val="20"/>
              </w:rPr>
              <w:t>Connaissance des actions de lutte contre le décrochage scolaire de droit commun par les acteurs impliqués dans les quartiers</w:t>
            </w:r>
          </w:p>
          <w:p w:rsidR="00D87FB9" w:rsidRDefault="00CF3A28" w:rsidP="00CF3A28">
            <w:pPr>
              <w:pStyle w:val="TableContents"/>
              <w:numPr>
                <w:ilvl w:val="0"/>
                <w:numId w:val="6"/>
              </w:numPr>
              <w:tabs>
                <w:tab w:val="clear" w:pos="720"/>
              </w:tabs>
              <w:autoSpaceDN w:val="0"/>
              <w:spacing w:before="120" w:after="120"/>
              <w:ind w:left="415" w:right="131"/>
              <w:jc w:val="both"/>
              <w:rPr>
                <w:rFonts w:ascii="Verdana" w:hAnsi="Verdana" w:cs="Arial"/>
                <w:color w:val="1F497D"/>
                <w:sz w:val="20"/>
                <w:szCs w:val="20"/>
              </w:rPr>
            </w:pPr>
            <w:r w:rsidRPr="00CF3A28">
              <w:rPr>
                <w:rFonts w:ascii="Verdana" w:hAnsi="Verdana" w:cs="Arial"/>
                <w:color w:val="1F497D"/>
                <w:sz w:val="18"/>
                <w:szCs w:val="20"/>
              </w:rPr>
              <w:t>Existence d’actions maillant les dispositifs de lutte contre le décrochage scolaire et les actions éducatives hors temps scolaire, notamment dans le cadre de la réussite éducative</w:t>
            </w:r>
          </w:p>
        </w:tc>
      </w:tr>
      <w:tr w:rsidR="00611755" w:rsidRPr="00243AF9" w:rsidTr="1D6AF8A0">
        <w:tc>
          <w:tcPr>
            <w:tcW w:w="2355" w:type="dxa"/>
            <w:shd w:val="clear" w:color="auto" w:fill="B8CCE4" w:themeFill="accent1" w:themeFillTint="66"/>
          </w:tcPr>
          <w:p w:rsidR="00611755" w:rsidRPr="00243AF9"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Liens autres enjeux / fiches « orientations opérationnelles »</w:t>
            </w:r>
          </w:p>
        </w:tc>
        <w:tc>
          <w:tcPr>
            <w:tcW w:w="8475" w:type="dxa"/>
            <w:shd w:val="clear" w:color="auto" w:fill="B8CCE4" w:themeFill="accent1" w:themeFillTint="66"/>
          </w:tcPr>
          <w:p w:rsidR="00F87C82" w:rsidRPr="008B6997" w:rsidRDefault="008B6997" w:rsidP="008B6997">
            <w:pPr>
              <w:pStyle w:val="TableContents"/>
              <w:numPr>
                <w:ilvl w:val="0"/>
                <w:numId w:val="6"/>
              </w:numPr>
              <w:tabs>
                <w:tab w:val="clear" w:pos="720"/>
              </w:tabs>
              <w:autoSpaceDN w:val="0"/>
              <w:spacing w:before="120" w:after="120"/>
              <w:ind w:left="415" w:right="131"/>
              <w:jc w:val="both"/>
              <w:rPr>
                <w:rFonts w:ascii="Verdana" w:hAnsi="Verdana" w:cs="Arial"/>
                <w:color w:val="1F497D"/>
                <w:sz w:val="20"/>
                <w:szCs w:val="20"/>
              </w:rPr>
            </w:pPr>
            <w:r>
              <w:rPr>
                <w:rFonts w:ascii="Verdana" w:hAnsi="Verdana" w:cs="Arial"/>
                <w:color w:val="1F497D"/>
                <w:sz w:val="18"/>
                <w:szCs w:val="20"/>
              </w:rPr>
              <w:t xml:space="preserve">Pilier 1 – Axe 1.2. </w:t>
            </w:r>
            <w:r w:rsidRPr="008B6997">
              <w:rPr>
                <w:rFonts w:ascii="Verdana" w:hAnsi="Verdana" w:cs="Arial"/>
                <w:color w:val="1F497D"/>
                <w:sz w:val="18"/>
                <w:szCs w:val="20"/>
              </w:rPr>
              <w:t>Enjeu 1.2.2. Eviter le décrochage scolaire des enfants des quartiers prioritaires et renforcer l’appétence pour l’école ; Fiche « Développer des actions qui donnent envie d’école ».</w:t>
            </w:r>
          </w:p>
          <w:p w:rsidR="008B6997" w:rsidRDefault="008B6997" w:rsidP="008B6997">
            <w:pPr>
              <w:pStyle w:val="TableContents"/>
              <w:numPr>
                <w:ilvl w:val="0"/>
                <w:numId w:val="6"/>
              </w:numPr>
              <w:tabs>
                <w:tab w:val="clear" w:pos="720"/>
              </w:tabs>
              <w:autoSpaceDN w:val="0"/>
              <w:spacing w:before="120" w:after="120"/>
              <w:ind w:left="415" w:right="131"/>
              <w:jc w:val="both"/>
              <w:rPr>
                <w:rFonts w:ascii="Verdana" w:hAnsi="Verdana" w:cs="Arial"/>
                <w:color w:val="1F497D"/>
                <w:sz w:val="20"/>
                <w:szCs w:val="20"/>
              </w:rPr>
            </w:pPr>
            <w:r>
              <w:rPr>
                <w:rFonts w:ascii="Verdana" w:hAnsi="Verdana" w:cs="Arial"/>
                <w:color w:val="1F497D"/>
                <w:sz w:val="18"/>
                <w:szCs w:val="20"/>
              </w:rPr>
              <w:t>Axe transversal T.2. Jeunesse.</w:t>
            </w:r>
          </w:p>
        </w:tc>
      </w:tr>
    </w:tbl>
    <w:p w:rsidR="00611755" w:rsidRDefault="00611755" w:rsidP="008D57C0">
      <w:pPr>
        <w:pStyle w:val="WW-Standard"/>
        <w:tabs>
          <w:tab w:val="left" w:pos="5920"/>
        </w:tabs>
        <w:spacing w:after="57"/>
        <w:rPr>
          <w:rFonts w:ascii="Verdana" w:hAnsi="Verdana" w:cs="Verdana"/>
          <w:b/>
          <w:bCs/>
          <w:sz w:val="28"/>
          <w:szCs w:val="28"/>
        </w:rPr>
      </w:pPr>
    </w:p>
    <w:sectPr w:rsidR="00611755" w:rsidSect="00A433C2">
      <w:headerReference w:type="even" r:id="rId10"/>
      <w:headerReference w:type="default" r:id="rId11"/>
      <w:footerReference w:type="even" r:id="rId12"/>
      <w:footerReference w:type="default" r:id="rId13"/>
      <w:headerReference w:type="first" r:id="rId14"/>
      <w:footerReference w:type="first" r:id="rId15"/>
      <w:pgSz w:w="11906" w:h="16838" w:code="9"/>
      <w:pgMar w:top="454" w:right="567" w:bottom="737" w:left="567"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67F5" w:rsidRDefault="006F67F5" w:rsidP="00A03715">
      <w:pPr>
        <w:pStyle w:val="TableContents"/>
      </w:pPr>
      <w:r>
        <w:separator/>
      </w:r>
    </w:p>
  </w:endnote>
  <w:endnote w:type="continuationSeparator" w:id="0">
    <w:p w:rsidR="006F67F5" w:rsidRDefault="006F67F5" w:rsidP="00A03715">
      <w:pPr>
        <w:pStyle w:val="TableContents"/>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Gentium Basic"/>
    <w:panose1 w:val="02040503050203030202"/>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8CF3C50" w:usb2="00000016" w:usb3="00000000" w:csb0="0004001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Arial">
    <w:altName w:val="Times New Roman"/>
    <w:panose1 w:val="00000000000000000000"/>
    <w:charset w:val="00"/>
    <w:family w:val="roman"/>
    <w:notTrueType/>
    <w:pitch w:val="default"/>
    <w:sig w:usb0="00000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1F4" w:rsidRDefault="00EA41F4">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A28" w:rsidRDefault="00CF3A28" w:rsidP="00973B15">
    <w:pPr>
      <w:pStyle w:val="Pieddepage"/>
      <w:widowControl/>
      <w:jc w:val="right"/>
      <w:rPr>
        <w:rFonts w:ascii="Verdana" w:hAnsi="Verdana" w:cs="Verdana"/>
        <w:sz w:val="16"/>
        <w:szCs w:val="16"/>
      </w:rPr>
    </w:pPr>
    <w:r>
      <w:rPr>
        <w:rFonts w:ascii="Verdana" w:hAnsi="Verdana" w:cs="Verdana"/>
        <w:sz w:val="16"/>
        <w:szCs w:val="16"/>
      </w:rPr>
      <w:t>Contrat de ville</w:t>
    </w:r>
    <w:r w:rsidR="007C51E2">
      <w:rPr>
        <w:rFonts w:ascii="Verdana" w:hAnsi="Verdana" w:cs="Verdana"/>
        <w:sz w:val="16"/>
        <w:szCs w:val="16"/>
      </w:rPr>
      <w:t xml:space="preserve"> - </w:t>
    </w:r>
    <w:r>
      <w:rPr>
        <w:rFonts w:ascii="Verdana" w:hAnsi="Verdana" w:cs="Verdana"/>
        <w:sz w:val="16"/>
        <w:szCs w:val="16"/>
      </w:rPr>
      <w:t>Fiche orientation opérationnelle</w:t>
    </w:r>
  </w:p>
  <w:p w:rsidR="007C51E2" w:rsidRDefault="00EA41F4" w:rsidP="00973B15">
    <w:pPr>
      <w:pStyle w:val="Pieddepage"/>
      <w:widowControl/>
      <w:jc w:val="right"/>
    </w:pPr>
    <w:r>
      <w:rPr>
        <w:rFonts w:ascii="Verdana" w:hAnsi="Verdana" w:cs="Verdana"/>
        <w:sz w:val="16"/>
        <w:szCs w:val="16"/>
      </w:rPr>
      <w:t>Date de mise à jour </w:t>
    </w:r>
    <w:r w:rsidR="007C51E2">
      <w:rPr>
        <w:rFonts w:ascii="Verdana" w:hAnsi="Verdana" w:cs="Verdana"/>
        <w:sz w:val="16"/>
        <w:szCs w:val="16"/>
      </w:rPr>
      <w:t>: 15 novembre 2017</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1F4" w:rsidRDefault="00EA41F4">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67F5" w:rsidRDefault="006F67F5" w:rsidP="00A03715">
      <w:pPr>
        <w:pStyle w:val="TableContents"/>
      </w:pPr>
      <w:r>
        <w:separator/>
      </w:r>
    </w:p>
  </w:footnote>
  <w:footnote w:type="continuationSeparator" w:id="0">
    <w:p w:rsidR="006F67F5" w:rsidRDefault="006F67F5" w:rsidP="00A03715">
      <w:pPr>
        <w:pStyle w:val="TableContents"/>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1F4" w:rsidRDefault="00EA41F4">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1F4" w:rsidRDefault="00EA41F4">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1F4" w:rsidRDefault="00EA41F4">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F654AF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pStyle w:val="Titre1"/>
      <w:suff w:val="nothing"/>
      <w:lvlText w:val=""/>
      <w:lvlJc w:val="left"/>
      <w:pPr>
        <w:tabs>
          <w:tab w:val="num" w:pos="432"/>
        </w:tabs>
        <w:ind w:left="432" w:hanging="432"/>
      </w:pPr>
    </w:lvl>
    <w:lvl w:ilvl="1">
      <w:start w:val="1"/>
      <w:numFmt w:val="none"/>
      <w:pStyle w:val="Titre2"/>
      <w:suff w:val="nothing"/>
      <w:lvlText w:val=""/>
      <w:lvlJc w:val="left"/>
      <w:pPr>
        <w:tabs>
          <w:tab w:val="num" w:pos="576"/>
        </w:tabs>
        <w:ind w:left="576" w:hanging="576"/>
      </w:pPr>
    </w:lvl>
    <w:lvl w:ilvl="2">
      <w:start w:val="1"/>
      <w:numFmt w:val="none"/>
      <w:pStyle w:val="Titre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6"/>
    <w:multiLevelType w:val="multilevel"/>
    <w:tmpl w:val="00000006"/>
    <w:name w:val="WW8Num6"/>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4">
    <w:nsid w:val="3C0F4310"/>
    <w:multiLevelType w:val="hybridMultilevel"/>
    <w:tmpl w:val="FFD6810C"/>
    <w:lvl w:ilvl="0" w:tplc="0FA23664">
      <w:start w:val="1"/>
      <w:numFmt w:val="bullet"/>
      <w:lvlText w:val="•"/>
      <w:lvlJc w:val="left"/>
      <w:pPr>
        <w:tabs>
          <w:tab w:val="num" w:pos="720"/>
        </w:tabs>
        <w:ind w:left="720" w:hanging="360"/>
      </w:pPr>
      <w:rPr>
        <w:rFonts w:ascii="Arial" w:hAnsi="Arial" w:hint="default"/>
      </w:rPr>
    </w:lvl>
    <w:lvl w:ilvl="1" w:tplc="204EA29C">
      <w:start w:val="1"/>
      <w:numFmt w:val="bullet"/>
      <w:lvlText w:val="•"/>
      <w:lvlJc w:val="left"/>
      <w:pPr>
        <w:tabs>
          <w:tab w:val="num" w:pos="1440"/>
        </w:tabs>
        <w:ind w:left="1440" w:hanging="360"/>
      </w:pPr>
      <w:rPr>
        <w:rFonts w:ascii="Arial" w:hAnsi="Arial" w:hint="default"/>
      </w:rPr>
    </w:lvl>
    <w:lvl w:ilvl="2" w:tplc="A2DC751C" w:tentative="1">
      <w:start w:val="1"/>
      <w:numFmt w:val="bullet"/>
      <w:lvlText w:val="•"/>
      <w:lvlJc w:val="left"/>
      <w:pPr>
        <w:tabs>
          <w:tab w:val="num" w:pos="2160"/>
        </w:tabs>
        <w:ind w:left="2160" w:hanging="360"/>
      </w:pPr>
      <w:rPr>
        <w:rFonts w:ascii="Arial" w:hAnsi="Arial" w:hint="default"/>
      </w:rPr>
    </w:lvl>
    <w:lvl w:ilvl="3" w:tplc="26DE848E" w:tentative="1">
      <w:start w:val="1"/>
      <w:numFmt w:val="bullet"/>
      <w:lvlText w:val="•"/>
      <w:lvlJc w:val="left"/>
      <w:pPr>
        <w:tabs>
          <w:tab w:val="num" w:pos="2880"/>
        </w:tabs>
        <w:ind w:left="2880" w:hanging="360"/>
      </w:pPr>
      <w:rPr>
        <w:rFonts w:ascii="Arial" w:hAnsi="Arial" w:hint="default"/>
      </w:rPr>
    </w:lvl>
    <w:lvl w:ilvl="4" w:tplc="D324A604" w:tentative="1">
      <w:start w:val="1"/>
      <w:numFmt w:val="bullet"/>
      <w:lvlText w:val="•"/>
      <w:lvlJc w:val="left"/>
      <w:pPr>
        <w:tabs>
          <w:tab w:val="num" w:pos="3600"/>
        </w:tabs>
        <w:ind w:left="3600" w:hanging="360"/>
      </w:pPr>
      <w:rPr>
        <w:rFonts w:ascii="Arial" w:hAnsi="Arial" w:hint="default"/>
      </w:rPr>
    </w:lvl>
    <w:lvl w:ilvl="5" w:tplc="5B08BA08" w:tentative="1">
      <w:start w:val="1"/>
      <w:numFmt w:val="bullet"/>
      <w:lvlText w:val="•"/>
      <w:lvlJc w:val="left"/>
      <w:pPr>
        <w:tabs>
          <w:tab w:val="num" w:pos="4320"/>
        </w:tabs>
        <w:ind w:left="4320" w:hanging="360"/>
      </w:pPr>
      <w:rPr>
        <w:rFonts w:ascii="Arial" w:hAnsi="Arial" w:hint="default"/>
      </w:rPr>
    </w:lvl>
    <w:lvl w:ilvl="6" w:tplc="6FA68E0A" w:tentative="1">
      <w:start w:val="1"/>
      <w:numFmt w:val="bullet"/>
      <w:lvlText w:val="•"/>
      <w:lvlJc w:val="left"/>
      <w:pPr>
        <w:tabs>
          <w:tab w:val="num" w:pos="5040"/>
        </w:tabs>
        <w:ind w:left="5040" w:hanging="360"/>
      </w:pPr>
      <w:rPr>
        <w:rFonts w:ascii="Arial" w:hAnsi="Arial" w:hint="default"/>
      </w:rPr>
    </w:lvl>
    <w:lvl w:ilvl="7" w:tplc="7FCC2E4E" w:tentative="1">
      <w:start w:val="1"/>
      <w:numFmt w:val="bullet"/>
      <w:lvlText w:val="•"/>
      <w:lvlJc w:val="left"/>
      <w:pPr>
        <w:tabs>
          <w:tab w:val="num" w:pos="5760"/>
        </w:tabs>
        <w:ind w:left="5760" w:hanging="360"/>
      </w:pPr>
      <w:rPr>
        <w:rFonts w:ascii="Arial" w:hAnsi="Arial" w:hint="default"/>
      </w:rPr>
    </w:lvl>
    <w:lvl w:ilvl="8" w:tplc="DB6445AC" w:tentative="1">
      <w:start w:val="1"/>
      <w:numFmt w:val="bullet"/>
      <w:lvlText w:val="•"/>
      <w:lvlJc w:val="left"/>
      <w:pPr>
        <w:tabs>
          <w:tab w:val="num" w:pos="6480"/>
        </w:tabs>
        <w:ind w:left="6480" w:hanging="360"/>
      </w:pPr>
      <w:rPr>
        <w:rFonts w:ascii="Arial" w:hAnsi="Arial" w:hint="default"/>
      </w:rPr>
    </w:lvl>
  </w:abstractNum>
  <w:abstractNum w:abstractNumId="5">
    <w:nsid w:val="457A1F35"/>
    <w:multiLevelType w:val="hybridMultilevel"/>
    <w:tmpl w:val="F0A68F52"/>
    <w:lvl w:ilvl="0" w:tplc="0BF622A2">
      <w:numFmt w:val="bullet"/>
      <w:lvlText w:val="-"/>
      <w:lvlJc w:val="left"/>
      <w:pPr>
        <w:ind w:left="720" w:hanging="360"/>
      </w:pPr>
      <w:rPr>
        <w:rFonts w:ascii="Arial" w:eastAsia="SimSu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631144D9"/>
    <w:multiLevelType w:val="hybridMultilevel"/>
    <w:tmpl w:val="D72AF3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5"/>
  </w:num>
  <w:num w:numId="5">
    <w:abstractNumId w:val="0"/>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gutterAtTop/>
  <w:proofState w:spelling="clean" w:grammar="clean"/>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0966A5"/>
    <w:rsid w:val="00015782"/>
    <w:rsid w:val="00031B19"/>
    <w:rsid w:val="00034D7A"/>
    <w:rsid w:val="000966A5"/>
    <w:rsid w:val="000A570C"/>
    <w:rsid w:val="000C7C8B"/>
    <w:rsid w:val="000E47F5"/>
    <w:rsid w:val="000F355B"/>
    <w:rsid w:val="00114E13"/>
    <w:rsid w:val="00137186"/>
    <w:rsid w:val="00141401"/>
    <w:rsid w:val="001476D1"/>
    <w:rsid w:val="00161DB5"/>
    <w:rsid w:val="0016489B"/>
    <w:rsid w:val="00172682"/>
    <w:rsid w:val="001B5930"/>
    <w:rsid w:val="001C466A"/>
    <w:rsid w:val="00221F00"/>
    <w:rsid w:val="00233B5C"/>
    <w:rsid w:val="0024376D"/>
    <w:rsid w:val="00243AF9"/>
    <w:rsid w:val="00251461"/>
    <w:rsid w:val="00296CA9"/>
    <w:rsid w:val="002A5B58"/>
    <w:rsid w:val="002C34F0"/>
    <w:rsid w:val="003308B9"/>
    <w:rsid w:val="00332D5A"/>
    <w:rsid w:val="0033720C"/>
    <w:rsid w:val="00347DBF"/>
    <w:rsid w:val="003744CB"/>
    <w:rsid w:val="003966A6"/>
    <w:rsid w:val="00405EFC"/>
    <w:rsid w:val="00450F2B"/>
    <w:rsid w:val="00481787"/>
    <w:rsid w:val="00502539"/>
    <w:rsid w:val="005053D4"/>
    <w:rsid w:val="005272A4"/>
    <w:rsid w:val="00543505"/>
    <w:rsid w:val="00564CE8"/>
    <w:rsid w:val="005C6B84"/>
    <w:rsid w:val="005F0153"/>
    <w:rsid w:val="00611755"/>
    <w:rsid w:val="00626CBC"/>
    <w:rsid w:val="00633A2F"/>
    <w:rsid w:val="0064117E"/>
    <w:rsid w:val="00641DED"/>
    <w:rsid w:val="00652F55"/>
    <w:rsid w:val="00657D7B"/>
    <w:rsid w:val="006A3BC2"/>
    <w:rsid w:val="006B3DD6"/>
    <w:rsid w:val="006E5124"/>
    <w:rsid w:val="006F3473"/>
    <w:rsid w:val="006F67F5"/>
    <w:rsid w:val="0074359D"/>
    <w:rsid w:val="007A7B97"/>
    <w:rsid w:val="007B7D1F"/>
    <w:rsid w:val="007C51E2"/>
    <w:rsid w:val="007D246C"/>
    <w:rsid w:val="007D7354"/>
    <w:rsid w:val="007F401A"/>
    <w:rsid w:val="00806B91"/>
    <w:rsid w:val="0082148C"/>
    <w:rsid w:val="00827890"/>
    <w:rsid w:val="0083500C"/>
    <w:rsid w:val="00841AF9"/>
    <w:rsid w:val="00856FA3"/>
    <w:rsid w:val="00860052"/>
    <w:rsid w:val="00860E13"/>
    <w:rsid w:val="0088450D"/>
    <w:rsid w:val="008B6997"/>
    <w:rsid w:val="008D0202"/>
    <w:rsid w:val="008D57C0"/>
    <w:rsid w:val="008F41F9"/>
    <w:rsid w:val="00934D6C"/>
    <w:rsid w:val="00945D6F"/>
    <w:rsid w:val="009520CB"/>
    <w:rsid w:val="00973B15"/>
    <w:rsid w:val="009910D0"/>
    <w:rsid w:val="009C075F"/>
    <w:rsid w:val="00A03715"/>
    <w:rsid w:val="00A230D1"/>
    <w:rsid w:val="00A34D8D"/>
    <w:rsid w:val="00A433C2"/>
    <w:rsid w:val="00A54402"/>
    <w:rsid w:val="00A60403"/>
    <w:rsid w:val="00A94D0F"/>
    <w:rsid w:val="00AB1F69"/>
    <w:rsid w:val="00BE4175"/>
    <w:rsid w:val="00BE52CF"/>
    <w:rsid w:val="00BE6FC2"/>
    <w:rsid w:val="00C65747"/>
    <w:rsid w:val="00C949D0"/>
    <w:rsid w:val="00CC0218"/>
    <w:rsid w:val="00CF3A28"/>
    <w:rsid w:val="00D34F56"/>
    <w:rsid w:val="00D86EE0"/>
    <w:rsid w:val="00D87FB9"/>
    <w:rsid w:val="00DA6B8B"/>
    <w:rsid w:val="00DC0102"/>
    <w:rsid w:val="00DC3D8D"/>
    <w:rsid w:val="00DE4D0A"/>
    <w:rsid w:val="00EA41F4"/>
    <w:rsid w:val="00ED7F39"/>
    <w:rsid w:val="00EE7747"/>
    <w:rsid w:val="00F04DC2"/>
    <w:rsid w:val="00F275A3"/>
    <w:rsid w:val="00F34CB5"/>
    <w:rsid w:val="00F87C82"/>
    <w:rsid w:val="00FB449F"/>
    <w:rsid w:val="00FF2C59"/>
    <w:rsid w:val="1D6AF8A0"/>
    <w:rsid w:val="1FBB015E"/>
    <w:rsid w:val="33E3D0CD"/>
  </w:rsids>
  <m:mathPr>
    <m:mathFont m:val="Cambria Math"/>
    <m:brkBin m:val="before"/>
    <m:brkBinSub m:val="--"/>
    <m:smallFrac m:val="off"/>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186"/>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rsid w:val="00137186"/>
    <w:pPr>
      <w:numPr>
        <w:numId w:val="1"/>
      </w:numPr>
      <w:outlineLvl w:val="0"/>
    </w:pPr>
    <w:rPr>
      <w:b/>
      <w:bCs/>
    </w:rPr>
  </w:style>
  <w:style w:type="paragraph" w:styleId="Titre2">
    <w:name w:val="heading 2"/>
    <w:basedOn w:val="Heading"/>
    <w:next w:val="Textbody"/>
    <w:qFormat/>
    <w:rsid w:val="00137186"/>
    <w:pPr>
      <w:numPr>
        <w:ilvl w:val="1"/>
        <w:numId w:val="1"/>
      </w:numPr>
      <w:outlineLvl w:val="1"/>
    </w:pPr>
    <w:rPr>
      <w:b/>
      <w:bCs/>
      <w:i/>
      <w:iCs/>
    </w:rPr>
  </w:style>
  <w:style w:type="paragraph" w:styleId="Titre3">
    <w:name w:val="heading 3"/>
    <w:basedOn w:val="Heading"/>
    <w:next w:val="Textbody"/>
    <w:qFormat/>
    <w:rsid w:val="00137186"/>
    <w:pPr>
      <w:numPr>
        <w:ilvl w:val="2"/>
        <w:numId w:val="1"/>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137186"/>
    <w:rPr>
      <w:rFonts w:ascii="Symbol" w:eastAsia="Times New Roman" w:hAnsi="Symbol" w:cs="Verdana"/>
    </w:rPr>
  </w:style>
  <w:style w:type="character" w:customStyle="1" w:styleId="WW8Num1z1">
    <w:name w:val="WW8Num1z1"/>
    <w:rsid w:val="00137186"/>
    <w:rPr>
      <w:rFonts w:ascii="OpenSymbol" w:hAnsi="OpenSymbol" w:cs="Courier New"/>
    </w:rPr>
  </w:style>
  <w:style w:type="character" w:customStyle="1" w:styleId="WW8Num2z0">
    <w:name w:val="WW8Num2z0"/>
    <w:rsid w:val="00137186"/>
    <w:rPr>
      <w:rFonts w:ascii="Verdana" w:eastAsia="SimSun" w:hAnsi="Verdana" w:cs="Mangal"/>
    </w:rPr>
  </w:style>
  <w:style w:type="character" w:customStyle="1" w:styleId="WW8Num2z1">
    <w:name w:val="WW8Num2z1"/>
    <w:rsid w:val="00137186"/>
    <w:rPr>
      <w:rFonts w:ascii="Courier New" w:hAnsi="Courier New" w:cs="Courier New"/>
    </w:rPr>
  </w:style>
  <w:style w:type="character" w:customStyle="1" w:styleId="WW8Num2z2">
    <w:name w:val="WW8Num2z2"/>
    <w:rsid w:val="00137186"/>
    <w:rPr>
      <w:rFonts w:ascii="Wingdings" w:hAnsi="Wingdings" w:cs="Wingdings"/>
    </w:rPr>
  </w:style>
  <w:style w:type="character" w:customStyle="1" w:styleId="WW8Num2z3">
    <w:name w:val="WW8Num2z3"/>
    <w:rsid w:val="00137186"/>
    <w:rPr>
      <w:rFonts w:ascii="Symbol" w:hAnsi="Symbol" w:cs="Symbol"/>
    </w:rPr>
  </w:style>
  <w:style w:type="character" w:customStyle="1" w:styleId="WW8Num4z0">
    <w:name w:val="WW8Num4z0"/>
    <w:rsid w:val="00137186"/>
    <w:rPr>
      <w:rFonts w:ascii="Verdana" w:eastAsia="Times New Roman" w:hAnsi="Verdana" w:cs="Verdana"/>
    </w:rPr>
  </w:style>
  <w:style w:type="character" w:customStyle="1" w:styleId="WW8Num4z1">
    <w:name w:val="WW8Num4z1"/>
    <w:rsid w:val="00137186"/>
    <w:rPr>
      <w:rFonts w:ascii="Courier New" w:hAnsi="Courier New" w:cs="Courier New"/>
    </w:rPr>
  </w:style>
  <w:style w:type="character" w:customStyle="1" w:styleId="WW8Num4z2">
    <w:name w:val="WW8Num4z2"/>
    <w:rsid w:val="00137186"/>
    <w:rPr>
      <w:rFonts w:ascii="Wingdings" w:hAnsi="Wingdings" w:cs="Wingdings"/>
    </w:rPr>
  </w:style>
  <w:style w:type="character" w:customStyle="1" w:styleId="WW8Num4z3">
    <w:name w:val="WW8Num4z3"/>
    <w:rsid w:val="00137186"/>
    <w:rPr>
      <w:rFonts w:ascii="Symbol" w:hAnsi="Symbol" w:cs="Symbol"/>
    </w:rPr>
  </w:style>
  <w:style w:type="character" w:customStyle="1" w:styleId="WW8Num5z0">
    <w:name w:val="WW8Num5z0"/>
    <w:rsid w:val="00137186"/>
    <w:rPr>
      <w:rFonts w:ascii="Symbol" w:hAnsi="Symbol" w:cs="OpenSymbol"/>
    </w:rPr>
  </w:style>
  <w:style w:type="character" w:customStyle="1" w:styleId="WW8Num5z1">
    <w:name w:val="WW8Num5z1"/>
    <w:rsid w:val="00137186"/>
    <w:rPr>
      <w:rFonts w:ascii="OpenSymbol" w:hAnsi="OpenSymbol" w:cs="OpenSymbol"/>
    </w:rPr>
  </w:style>
  <w:style w:type="character" w:customStyle="1" w:styleId="WW8Num5z2">
    <w:name w:val="WW8Num5z2"/>
    <w:rsid w:val="00137186"/>
    <w:rPr>
      <w:rFonts w:ascii="Wingdings" w:hAnsi="Wingdings" w:cs="Wingdings"/>
    </w:rPr>
  </w:style>
  <w:style w:type="character" w:customStyle="1" w:styleId="WW8Num5z3">
    <w:name w:val="WW8Num5z3"/>
    <w:rsid w:val="00137186"/>
    <w:rPr>
      <w:rFonts w:ascii="Symbol" w:hAnsi="Symbol" w:cs="Symbol"/>
    </w:rPr>
  </w:style>
  <w:style w:type="character" w:customStyle="1" w:styleId="WW8Num6z0">
    <w:name w:val="WW8Num6z0"/>
    <w:rsid w:val="00137186"/>
    <w:rPr>
      <w:rFonts w:ascii="Symbol" w:hAnsi="Symbol" w:cs="OpenSymbol"/>
    </w:rPr>
  </w:style>
  <w:style w:type="character" w:customStyle="1" w:styleId="WW8Num6z1">
    <w:name w:val="WW8Num6z1"/>
    <w:rsid w:val="00137186"/>
    <w:rPr>
      <w:rFonts w:ascii="OpenSymbol" w:hAnsi="OpenSymbol" w:cs="OpenSymbol"/>
    </w:rPr>
  </w:style>
  <w:style w:type="character" w:customStyle="1" w:styleId="Policepardfaut1">
    <w:name w:val="Police par défaut1"/>
    <w:rsid w:val="00137186"/>
  </w:style>
  <w:style w:type="character" w:customStyle="1" w:styleId="NumberingSymbols">
    <w:name w:val="Numbering Symbols"/>
    <w:rsid w:val="00137186"/>
    <w:rPr>
      <w:b/>
      <w:bCs/>
    </w:rPr>
  </w:style>
  <w:style w:type="character" w:customStyle="1" w:styleId="BulletSymbols">
    <w:name w:val="Bullet Symbols"/>
    <w:rsid w:val="00137186"/>
    <w:rPr>
      <w:rFonts w:ascii="OpenSymbol" w:eastAsia="OpenSymbol" w:hAnsi="OpenSymbol" w:cs="OpenSymbol"/>
    </w:rPr>
  </w:style>
  <w:style w:type="character" w:customStyle="1" w:styleId="En-tteCar">
    <w:name w:val="En-tête Car"/>
    <w:rsid w:val="00137186"/>
    <w:rPr>
      <w:szCs w:val="21"/>
    </w:rPr>
  </w:style>
  <w:style w:type="character" w:styleId="Numrodepage">
    <w:name w:val="page number"/>
    <w:basedOn w:val="Policepardfaut1"/>
    <w:rsid w:val="00137186"/>
  </w:style>
  <w:style w:type="character" w:customStyle="1" w:styleId="Puces">
    <w:name w:val="Puces"/>
    <w:rsid w:val="00137186"/>
    <w:rPr>
      <w:rFonts w:ascii="OpenSymbol" w:eastAsia="OpenSymbol" w:hAnsi="OpenSymbol" w:cs="OpenSymbol"/>
    </w:rPr>
  </w:style>
  <w:style w:type="paragraph" w:customStyle="1" w:styleId="Titre10">
    <w:name w:val="Titre1"/>
    <w:basedOn w:val="Normal"/>
    <w:next w:val="Corpsdetexte"/>
    <w:rsid w:val="00137186"/>
    <w:pPr>
      <w:keepNext/>
      <w:spacing w:before="240" w:after="120"/>
    </w:pPr>
    <w:rPr>
      <w:rFonts w:ascii="Arial" w:eastAsia="Microsoft YaHei" w:hAnsi="Arial"/>
      <w:sz w:val="28"/>
      <w:szCs w:val="28"/>
    </w:rPr>
  </w:style>
  <w:style w:type="paragraph" w:styleId="Corpsdetexte">
    <w:name w:val="Body Text"/>
    <w:basedOn w:val="Normal"/>
    <w:rsid w:val="00137186"/>
    <w:pPr>
      <w:spacing w:after="120"/>
    </w:pPr>
  </w:style>
  <w:style w:type="paragraph" w:styleId="Liste">
    <w:name w:val="List"/>
    <w:basedOn w:val="Textbody"/>
    <w:rsid w:val="00137186"/>
  </w:style>
  <w:style w:type="paragraph" w:styleId="Lgende">
    <w:name w:val="caption"/>
    <w:basedOn w:val="WW-Standard"/>
    <w:qFormat/>
    <w:rsid w:val="00137186"/>
    <w:pPr>
      <w:suppressLineNumbers/>
      <w:spacing w:before="120" w:after="120"/>
    </w:pPr>
    <w:rPr>
      <w:i/>
      <w:iCs/>
    </w:rPr>
  </w:style>
  <w:style w:type="paragraph" w:customStyle="1" w:styleId="Index">
    <w:name w:val="Index"/>
    <w:basedOn w:val="WW-Standard"/>
    <w:rsid w:val="00137186"/>
    <w:pPr>
      <w:suppressLineNumbers/>
    </w:pPr>
  </w:style>
  <w:style w:type="paragraph" w:customStyle="1" w:styleId="WW-Standard">
    <w:name w:val="WW-Standard"/>
    <w:rsid w:val="00137186"/>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rsid w:val="00137186"/>
    <w:pPr>
      <w:keepNext/>
      <w:spacing w:before="240" w:after="120"/>
    </w:pPr>
    <w:rPr>
      <w:rFonts w:ascii="Arial" w:eastAsia="Microsoft YaHei" w:hAnsi="Arial" w:cs="Arial"/>
      <w:sz w:val="28"/>
      <w:szCs w:val="28"/>
    </w:rPr>
  </w:style>
  <w:style w:type="paragraph" w:customStyle="1" w:styleId="Textbody">
    <w:name w:val="Text body"/>
    <w:basedOn w:val="WW-Standard"/>
    <w:rsid w:val="00137186"/>
    <w:pPr>
      <w:spacing w:after="120"/>
    </w:pPr>
  </w:style>
  <w:style w:type="paragraph" w:styleId="Pieddepage">
    <w:name w:val="footer"/>
    <w:basedOn w:val="WW-Standard"/>
    <w:rsid w:val="00137186"/>
    <w:pPr>
      <w:suppressLineNumbers/>
    </w:pPr>
  </w:style>
  <w:style w:type="paragraph" w:customStyle="1" w:styleId="TableContents">
    <w:name w:val="Table Contents"/>
    <w:basedOn w:val="WW-Standard"/>
    <w:rsid w:val="00137186"/>
    <w:pPr>
      <w:suppressLineNumbers/>
    </w:pPr>
  </w:style>
  <w:style w:type="paragraph" w:styleId="En-tte">
    <w:name w:val="header"/>
    <w:basedOn w:val="Normal"/>
    <w:rsid w:val="00137186"/>
    <w:rPr>
      <w:szCs w:val="21"/>
    </w:rPr>
  </w:style>
  <w:style w:type="paragraph" w:customStyle="1" w:styleId="Contenudetableau">
    <w:name w:val="Contenu de tableau"/>
    <w:basedOn w:val="Normal"/>
    <w:rsid w:val="00137186"/>
    <w:pPr>
      <w:suppressLineNumbers/>
    </w:pPr>
  </w:style>
  <w:style w:type="paragraph" w:customStyle="1" w:styleId="Titredetableau">
    <w:name w:val="Titre de tableau"/>
    <w:basedOn w:val="Contenudetableau"/>
    <w:rsid w:val="00137186"/>
    <w:pPr>
      <w:jc w:val="center"/>
    </w:pPr>
    <w:rPr>
      <w:b/>
      <w:bCs/>
    </w:rPr>
  </w:style>
  <w:style w:type="table" w:styleId="Grilledutableau">
    <w:name w:val="Table Grid"/>
    <w:basedOn w:val="TableauNormal"/>
    <w:rsid w:val="00450F2B"/>
    <w:pPr>
      <w:widowControl w:val="0"/>
      <w:suppressAutoHyphens/>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paragraph" w:styleId="NormalWeb">
    <w:name w:val="Normal (Web)"/>
    <w:basedOn w:val="Normal"/>
    <w:uiPriority w:val="99"/>
    <w:unhideWhenUsed/>
    <w:rsid w:val="009910D0"/>
    <w:pPr>
      <w:widowControl/>
      <w:suppressAutoHyphens w:val="0"/>
      <w:spacing w:before="100" w:beforeAutospacing="1" w:after="100" w:afterAutospacing="1"/>
      <w:textAlignment w:val="auto"/>
    </w:pPr>
    <w:rPr>
      <w:rFonts w:eastAsia="Times New Roman" w:cs="Times New Roman"/>
      <w:kern w:val="0"/>
      <w:lang w:eastAsia="fr-FR" w:bidi="ar-SA"/>
    </w:rPr>
  </w:style>
  <w:style w:type="paragraph" w:styleId="Paragraphedeliste">
    <w:name w:val="List Paragraph"/>
    <w:basedOn w:val="Normal"/>
    <w:uiPriority w:val="34"/>
    <w:qFormat/>
    <w:rsid w:val="00F87C82"/>
    <w:pPr>
      <w:widowControl/>
      <w:suppressAutoHyphens w:val="0"/>
      <w:spacing w:after="200" w:line="276" w:lineRule="auto"/>
      <w:ind w:left="720"/>
      <w:contextualSpacing/>
      <w:textAlignment w:val="auto"/>
    </w:pPr>
    <w:rPr>
      <w:rFonts w:asciiTheme="minorHAnsi" w:eastAsiaTheme="minorHAnsi" w:hAnsiTheme="minorHAnsi" w:cstheme="minorBidi"/>
      <w:kern w:val="0"/>
      <w:sz w:val="22"/>
      <w:szCs w:val="22"/>
      <w:lang w:eastAsia="en-US" w:bidi="ar-SA"/>
    </w:rPr>
  </w:style>
  <w:style w:type="paragraph" w:styleId="Commentaire">
    <w:name w:val="annotation text"/>
    <w:basedOn w:val="Normal"/>
    <w:link w:val="CommentaireCar"/>
    <w:rsid w:val="00137186"/>
    <w:rPr>
      <w:sz w:val="20"/>
      <w:szCs w:val="18"/>
    </w:rPr>
  </w:style>
  <w:style w:type="character" w:customStyle="1" w:styleId="CommentaireCar">
    <w:name w:val="Commentaire Car"/>
    <w:basedOn w:val="Policepardfaut"/>
    <w:link w:val="Commentaire"/>
    <w:rsid w:val="00137186"/>
    <w:rPr>
      <w:rFonts w:eastAsia="SimSun" w:cs="Mangal"/>
      <w:kern w:val="1"/>
      <w:szCs w:val="18"/>
      <w:lang w:eastAsia="zh-CN" w:bidi="hi-IN"/>
    </w:rPr>
  </w:style>
  <w:style w:type="character" w:styleId="Marquedecommentaire">
    <w:name w:val="annotation reference"/>
    <w:basedOn w:val="Policepardfaut"/>
    <w:rsid w:val="00137186"/>
    <w:rPr>
      <w:sz w:val="16"/>
      <w:szCs w:val="16"/>
    </w:rPr>
  </w:style>
  <w:style w:type="paragraph" w:styleId="Textedebulles">
    <w:name w:val="Balloon Text"/>
    <w:basedOn w:val="Normal"/>
    <w:link w:val="TextedebullesCar"/>
    <w:rsid w:val="000C7C8B"/>
    <w:rPr>
      <w:rFonts w:ascii="Tahoma" w:hAnsi="Tahoma"/>
      <w:sz w:val="16"/>
      <w:szCs w:val="14"/>
    </w:rPr>
  </w:style>
  <w:style w:type="character" w:customStyle="1" w:styleId="TextedebullesCar">
    <w:name w:val="Texte de bulles Car"/>
    <w:basedOn w:val="Policepardfaut"/>
    <w:link w:val="Textedebulles"/>
    <w:rsid w:val="000C7C8B"/>
    <w:rPr>
      <w:rFonts w:ascii="Tahoma" w:eastAsia="SimSun" w:hAnsi="Tahoma" w:cs="Mangal"/>
      <w:kern w:val="1"/>
      <w:sz w:val="16"/>
      <w:szCs w:val="14"/>
      <w:lang w:eastAsia="zh-CN" w:bidi="hi-IN"/>
    </w:rPr>
  </w:style>
  <w:style w:type="paragraph" w:styleId="Objetducommentaire">
    <w:name w:val="annotation subject"/>
    <w:basedOn w:val="Commentaire"/>
    <w:next w:val="Commentaire"/>
    <w:link w:val="ObjetducommentaireCar"/>
    <w:semiHidden/>
    <w:unhideWhenUsed/>
    <w:rsid w:val="00161DB5"/>
    <w:rPr>
      <w:b/>
      <w:bCs/>
    </w:rPr>
  </w:style>
  <w:style w:type="character" w:customStyle="1" w:styleId="ObjetducommentaireCar">
    <w:name w:val="Objet du commentaire Car"/>
    <w:basedOn w:val="CommentaireCar"/>
    <w:link w:val="Objetducommentaire"/>
    <w:semiHidden/>
    <w:rsid w:val="00161DB5"/>
    <w:rPr>
      <w:rFonts w:eastAsia="SimSun" w:cs="Mangal"/>
      <w:b/>
      <w:bCs/>
      <w:kern w:val="1"/>
      <w:szCs w:val="18"/>
      <w:lang w:eastAsia="zh-CN" w:bidi="hi-IN"/>
    </w:rPr>
  </w:style>
</w:styles>
</file>

<file path=word/webSettings.xml><?xml version="1.0" encoding="utf-8"?>
<w:webSettings xmlns:r="http://schemas.openxmlformats.org/officeDocument/2006/relationships" xmlns:w="http://schemas.openxmlformats.org/wordprocessingml/2006/main">
  <w:divs>
    <w:div w:id="1784657">
      <w:bodyDiv w:val="1"/>
      <w:marLeft w:val="0"/>
      <w:marRight w:val="0"/>
      <w:marTop w:val="0"/>
      <w:marBottom w:val="0"/>
      <w:divBdr>
        <w:top w:val="none" w:sz="0" w:space="0" w:color="auto"/>
        <w:left w:val="none" w:sz="0" w:space="0" w:color="auto"/>
        <w:bottom w:val="none" w:sz="0" w:space="0" w:color="auto"/>
        <w:right w:val="none" w:sz="0" w:space="0" w:color="auto"/>
      </w:divBdr>
    </w:div>
    <w:div w:id="120345626">
      <w:bodyDiv w:val="1"/>
      <w:marLeft w:val="0"/>
      <w:marRight w:val="0"/>
      <w:marTop w:val="0"/>
      <w:marBottom w:val="0"/>
      <w:divBdr>
        <w:top w:val="none" w:sz="0" w:space="0" w:color="auto"/>
        <w:left w:val="none" w:sz="0" w:space="0" w:color="auto"/>
        <w:bottom w:val="none" w:sz="0" w:space="0" w:color="auto"/>
        <w:right w:val="none" w:sz="0" w:space="0" w:color="auto"/>
      </w:divBdr>
    </w:div>
    <w:div w:id="142545813">
      <w:bodyDiv w:val="1"/>
      <w:marLeft w:val="0"/>
      <w:marRight w:val="0"/>
      <w:marTop w:val="0"/>
      <w:marBottom w:val="0"/>
      <w:divBdr>
        <w:top w:val="none" w:sz="0" w:space="0" w:color="auto"/>
        <w:left w:val="none" w:sz="0" w:space="0" w:color="auto"/>
        <w:bottom w:val="none" w:sz="0" w:space="0" w:color="auto"/>
        <w:right w:val="none" w:sz="0" w:space="0" w:color="auto"/>
      </w:divBdr>
    </w:div>
    <w:div w:id="325785621">
      <w:bodyDiv w:val="1"/>
      <w:marLeft w:val="0"/>
      <w:marRight w:val="0"/>
      <w:marTop w:val="0"/>
      <w:marBottom w:val="0"/>
      <w:divBdr>
        <w:top w:val="none" w:sz="0" w:space="0" w:color="auto"/>
        <w:left w:val="none" w:sz="0" w:space="0" w:color="auto"/>
        <w:bottom w:val="none" w:sz="0" w:space="0" w:color="auto"/>
        <w:right w:val="none" w:sz="0" w:space="0" w:color="auto"/>
      </w:divBdr>
    </w:div>
    <w:div w:id="703137992">
      <w:bodyDiv w:val="1"/>
      <w:marLeft w:val="0"/>
      <w:marRight w:val="0"/>
      <w:marTop w:val="0"/>
      <w:marBottom w:val="0"/>
      <w:divBdr>
        <w:top w:val="none" w:sz="0" w:space="0" w:color="auto"/>
        <w:left w:val="none" w:sz="0" w:space="0" w:color="auto"/>
        <w:bottom w:val="none" w:sz="0" w:space="0" w:color="auto"/>
        <w:right w:val="none" w:sz="0" w:space="0" w:color="auto"/>
      </w:divBdr>
      <w:divsChild>
        <w:div w:id="2020621203">
          <w:marLeft w:val="274"/>
          <w:marRight w:val="0"/>
          <w:marTop w:val="0"/>
          <w:marBottom w:val="0"/>
          <w:divBdr>
            <w:top w:val="none" w:sz="0" w:space="0" w:color="auto"/>
            <w:left w:val="none" w:sz="0" w:space="0" w:color="auto"/>
            <w:bottom w:val="none" w:sz="0" w:space="0" w:color="auto"/>
            <w:right w:val="none" w:sz="0" w:space="0" w:color="auto"/>
          </w:divBdr>
        </w:div>
        <w:div w:id="1803036375">
          <w:marLeft w:val="274"/>
          <w:marRight w:val="0"/>
          <w:marTop w:val="0"/>
          <w:marBottom w:val="0"/>
          <w:divBdr>
            <w:top w:val="none" w:sz="0" w:space="0" w:color="auto"/>
            <w:left w:val="none" w:sz="0" w:space="0" w:color="auto"/>
            <w:bottom w:val="none" w:sz="0" w:space="0" w:color="auto"/>
            <w:right w:val="none" w:sz="0" w:space="0" w:color="auto"/>
          </w:divBdr>
        </w:div>
      </w:divsChild>
    </w:div>
    <w:div w:id="1066344084">
      <w:bodyDiv w:val="1"/>
      <w:marLeft w:val="0"/>
      <w:marRight w:val="0"/>
      <w:marTop w:val="0"/>
      <w:marBottom w:val="0"/>
      <w:divBdr>
        <w:top w:val="none" w:sz="0" w:space="0" w:color="auto"/>
        <w:left w:val="none" w:sz="0" w:space="0" w:color="auto"/>
        <w:bottom w:val="none" w:sz="0" w:space="0" w:color="auto"/>
        <w:right w:val="none" w:sz="0" w:space="0" w:color="auto"/>
      </w:divBdr>
    </w:div>
    <w:div w:id="1308515386">
      <w:bodyDiv w:val="1"/>
      <w:marLeft w:val="0"/>
      <w:marRight w:val="0"/>
      <w:marTop w:val="0"/>
      <w:marBottom w:val="0"/>
      <w:divBdr>
        <w:top w:val="none" w:sz="0" w:space="0" w:color="auto"/>
        <w:left w:val="none" w:sz="0" w:space="0" w:color="auto"/>
        <w:bottom w:val="none" w:sz="0" w:space="0" w:color="auto"/>
        <w:right w:val="none" w:sz="0" w:space="0" w:color="auto"/>
      </w:divBdr>
    </w:div>
    <w:div w:id="1354107982">
      <w:bodyDiv w:val="1"/>
      <w:marLeft w:val="0"/>
      <w:marRight w:val="0"/>
      <w:marTop w:val="0"/>
      <w:marBottom w:val="0"/>
      <w:divBdr>
        <w:top w:val="none" w:sz="0" w:space="0" w:color="auto"/>
        <w:left w:val="none" w:sz="0" w:space="0" w:color="auto"/>
        <w:bottom w:val="none" w:sz="0" w:space="0" w:color="auto"/>
        <w:right w:val="none" w:sz="0" w:space="0" w:color="auto"/>
      </w:divBdr>
    </w:div>
    <w:div w:id="1612855449">
      <w:bodyDiv w:val="1"/>
      <w:marLeft w:val="0"/>
      <w:marRight w:val="0"/>
      <w:marTop w:val="0"/>
      <w:marBottom w:val="0"/>
      <w:divBdr>
        <w:top w:val="none" w:sz="0" w:space="0" w:color="auto"/>
        <w:left w:val="none" w:sz="0" w:space="0" w:color="auto"/>
        <w:bottom w:val="none" w:sz="0" w:space="0" w:color="auto"/>
        <w:right w:val="none" w:sz="0" w:space="0" w:color="auto"/>
      </w:divBdr>
    </w:div>
    <w:div w:id="1655330022">
      <w:bodyDiv w:val="1"/>
      <w:marLeft w:val="0"/>
      <w:marRight w:val="0"/>
      <w:marTop w:val="0"/>
      <w:marBottom w:val="0"/>
      <w:divBdr>
        <w:top w:val="none" w:sz="0" w:space="0" w:color="auto"/>
        <w:left w:val="none" w:sz="0" w:space="0" w:color="auto"/>
        <w:bottom w:val="none" w:sz="0" w:space="0" w:color="auto"/>
        <w:right w:val="none" w:sz="0" w:space="0" w:color="auto"/>
      </w:divBdr>
    </w:div>
    <w:div w:id="1722515195">
      <w:bodyDiv w:val="1"/>
      <w:marLeft w:val="0"/>
      <w:marRight w:val="0"/>
      <w:marTop w:val="0"/>
      <w:marBottom w:val="0"/>
      <w:divBdr>
        <w:top w:val="none" w:sz="0" w:space="0" w:color="auto"/>
        <w:left w:val="none" w:sz="0" w:space="0" w:color="auto"/>
        <w:bottom w:val="none" w:sz="0" w:space="0" w:color="auto"/>
        <w:right w:val="none" w:sz="0" w:space="0" w:color="auto"/>
      </w:divBdr>
    </w:div>
    <w:div w:id="1789472626">
      <w:bodyDiv w:val="1"/>
      <w:marLeft w:val="0"/>
      <w:marRight w:val="0"/>
      <w:marTop w:val="0"/>
      <w:marBottom w:val="0"/>
      <w:divBdr>
        <w:top w:val="none" w:sz="0" w:space="0" w:color="auto"/>
        <w:left w:val="none" w:sz="0" w:space="0" w:color="auto"/>
        <w:bottom w:val="none" w:sz="0" w:space="0" w:color="auto"/>
        <w:right w:val="none" w:sz="0" w:space="0" w:color="auto"/>
      </w:divBdr>
    </w:div>
    <w:div w:id="1857377601">
      <w:bodyDiv w:val="1"/>
      <w:marLeft w:val="0"/>
      <w:marRight w:val="0"/>
      <w:marTop w:val="0"/>
      <w:marBottom w:val="0"/>
      <w:divBdr>
        <w:top w:val="none" w:sz="0" w:space="0" w:color="auto"/>
        <w:left w:val="none" w:sz="0" w:space="0" w:color="auto"/>
        <w:bottom w:val="none" w:sz="0" w:space="0" w:color="auto"/>
        <w:right w:val="none" w:sz="0" w:space="0" w:color="auto"/>
      </w:divBdr>
    </w:div>
    <w:div w:id="18799716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E4D5F1315472C449DC7F3D5453E08EE" ma:contentTypeVersion="2" ma:contentTypeDescription="Crée un document." ma:contentTypeScope="" ma:versionID="83ca13e1ae11e557d610dfa47c2ac8a8">
  <xsd:schema xmlns:xsd="http://www.w3.org/2001/XMLSchema" xmlns:xs="http://www.w3.org/2001/XMLSchema" xmlns:p="http://schemas.microsoft.com/office/2006/metadata/properties" xmlns:ns2="c9f4b70c-db7f-4fd0-9b1d-ebaa300a76cc" targetNamespace="http://schemas.microsoft.com/office/2006/metadata/properties" ma:root="true" ma:fieldsID="7b2878665820b16b41fa788e0d90a871" ns2:_="">
    <xsd:import namespace="c9f4b70c-db7f-4fd0-9b1d-ebaa300a76c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f4b70c-db7f-4fd0-9b1d-ebaa300a76cc"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147505-C592-4536-A769-D786ACC6C03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1F5C455-2443-41CA-A6A0-647751CFA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f4b70c-db7f-4fd0-9b1d-ebaa300a7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E7DEAF-68B0-4024-8C9B-A216CFC603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904</Words>
  <Characters>4972</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FICHE ACTION TYPE</vt:lpstr>
    </vt:vector>
  </TitlesOfParts>
  <Company>Ministère de la Santé</Company>
  <LinksUpToDate>false</LinksUpToDate>
  <CharactersWithSpaces>5865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ACTION TYPE</dc:title>
  <dc:creator>MONTIGNY henri</dc:creator>
  <cp:lastModifiedBy>R.V. (DDCS) </cp:lastModifiedBy>
  <cp:revision>4</cp:revision>
  <cp:lastPrinted>2015-05-27T07:28:00Z</cp:lastPrinted>
  <dcterms:created xsi:type="dcterms:W3CDTF">2017-10-04T14:50:00Z</dcterms:created>
  <dcterms:modified xsi:type="dcterms:W3CDTF">2017-11-07T15:06:00Z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0x010100FE4D5F1315472C449DC7F3D5453E08EE</vt:lpwstr>
  </property>
</Properties>
</file>