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3A9CE"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BE4175">
        <w:rPr>
          <w:rFonts w:ascii="Verdana" w:hAnsi="Verdana" w:cs="Verdana"/>
          <w:b/>
          <w:bCs/>
          <w:color w:val="17365D" w:themeColor="text2" w:themeShade="BF"/>
          <w:sz w:val="28"/>
          <w:szCs w:val="28"/>
        </w:rPr>
        <w:t>2.</w:t>
      </w:r>
      <w:r w:rsidR="0097477D">
        <w:rPr>
          <w:rFonts w:ascii="Verdana" w:hAnsi="Verdana" w:cs="Verdana"/>
          <w:b/>
          <w:bCs/>
          <w:color w:val="17365D" w:themeColor="text2" w:themeShade="BF"/>
          <w:sz w:val="28"/>
          <w:szCs w:val="28"/>
        </w:rPr>
        <w:t>3</w:t>
      </w:r>
    </w:p>
    <w:p w14:paraId="01A5FBF6" w14:textId="77777777" w:rsidR="0097477D" w:rsidRPr="0097477D" w:rsidRDefault="0097477D" w:rsidP="0097477D">
      <w:pPr>
        <w:pStyle w:val="WW-Standard"/>
        <w:shd w:val="clear" w:color="auto" w:fill="1F497D"/>
        <w:spacing w:after="57"/>
        <w:jc w:val="center"/>
        <w:rPr>
          <w:rFonts w:ascii="Verdana" w:hAnsi="Verdana" w:cs="Verdana"/>
          <w:b/>
          <w:bCs/>
          <w:color w:val="FFFFFF"/>
          <w:sz w:val="28"/>
          <w:szCs w:val="28"/>
        </w:rPr>
      </w:pPr>
      <w:r w:rsidRPr="0097477D">
        <w:rPr>
          <w:rFonts w:ascii="Verdana" w:hAnsi="Verdana" w:cs="Verdana"/>
          <w:b/>
          <w:bCs/>
          <w:color w:val="FFFFFF"/>
          <w:sz w:val="28"/>
          <w:szCs w:val="28"/>
        </w:rPr>
        <w:t>DEVELOPPER DES ACTIONS QUI « DONNENT ENVIE D’ECOLE »</w:t>
      </w:r>
    </w:p>
    <w:p w14:paraId="57BFC1B7"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610"/>
        <w:gridCol w:w="8265"/>
      </w:tblGrid>
      <w:tr w:rsidR="00611755" w:rsidRPr="00243AF9" w14:paraId="69BC0DD9" w14:textId="77777777" w:rsidTr="55879FCA">
        <w:trPr>
          <w:trHeight w:val="754"/>
        </w:trPr>
        <w:tc>
          <w:tcPr>
            <w:tcW w:w="2610" w:type="dxa"/>
            <w:shd w:val="clear" w:color="auto" w:fill="B8CCE4" w:themeFill="accent1" w:themeFillTint="66"/>
            <w:vAlign w:val="center"/>
          </w:tcPr>
          <w:p w14:paraId="72777B67"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14:paraId="6CC621EA" w14:textId="77777777"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BE4175">
              <w:rPr>
                <w:rFonts w:ascii="Verdana" w:hAnsi="Verdana" w:cs="Verdana"/>
                <w:b/>
                <w:bCs/>
                <w:color w:val="1F497D"/>
                <w:sz w:val="20"/>
                <w:szCs w:val="20"/>
              </w:rPr>
              <w:t>2</w:t>
            </w:r>
          </w:p>
        </w:tc>
        <w:tc>
          <w:tcPr>
            <w:tcW w:w="8265" w:type="dxa"/>
            <w:shd w:val="clear" w:color="auto" w:fill="B8CCE4" w:themeFill="accent1" w:themeFillTint="66"/>
            <w:vAlign w:val="center"/>
          </w:tcPr>
          <w:p w14:paraId="081005D2" w14:textId="55879FCA" w:rsidR="00611755" w:rsidRPr="00405EFC" w:rsidRDefault="55879FCA" w:rsidP="00860E13">
            <w:pPr>
              <w:pStyle w:val="TableContents"/>
              <w:rPr>
                <w:rFonts w:ascii="Verdana" w:hAnsi="Verdana" w:cs="Verdana"/>
                <w:b/>
                <w:bCs/>
                <w:color w:val="1F497D"/>
                <w:sz w:val="20"/>
                <w:szCs w:val="20"/>
              </w:rPr>
            </w:pPr>
            <w:r w:rsidRPr="55879FCA">
              <w:rPr>
                <w:rFonts w:ascii="Verdana" w:eastAsia="Verdana" w:hAnsi="Verdana" w:cs="Verdana"/>
                <w:b/>
                <w:bCs/>
                <w:color w:val="1F497D" w:themeColor="text2"/>
                <w:sz w:val="20"/>
                <w:szCs w:val="20"/>
              </w:rPr>
              <w:t xml:space="preserve">Enjeu : Prévenir le décrochage scolaire des enfants des quartiers prioritaires et renforcer l’appétence pour l’école </w:t>
            </w:r>
          </w:p>
        </w:tc>
      </w:tr>
    </w:tbl>
    <w:p w14:paraId="6E6C1F63"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706"/>
        <w:gridCol w:w="8148"/>
      </w:tblGrid>
      <w:tr w:rsidR="00611755" w:rsidRPr="00243AF9" w14:paraId="60296ACE" w14:textId="77777777" w:rsidTr="55879FCA">
        <w:trPr>
          <w:trHeight w:val="150"/>
        </w:trPr>
        <w:tc>
          <w:tcPr>
            <w:tcW w:w="2700" w:type="dxa"/>
            <w:shd w:val="clear" w:color="auto" w:fill="B8CCE4" w:themeFill="accent1" w:themeFillTint="66"/>
          </w:tcPr>
          <w:p w14:paraId="44FD05D6" w14:textId="77777777"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39D5B9BC" w14:textId="1979B5E8"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130" w:type="dxa"/>
            <w:shd w:val="clear" w:color="auto" w:fill="B8CCE4" w:themeFill="accent1" w:themeFillTint="66"/>
          </w:tcPr>
          <w:p w14:paraId="574336B7" w14:textId="77777777" w:rsidR="00611755" w:rsidRPr="00230723" w:rsidRDefault="00230723" w:rsidP="00230723">
            <w:pPr>
              <w:pStyle w:val="TableContents"/>
              <w:numPr>
                <w:ilvl w:val="0"/>
                <w:numId w:val="7"/>
              </w:numPr>
              <w:autoSpaceDN w:val="0"/>
              <w:spacing w:before="120" w:after="120"/>
              <w:ind w:left="415" w:right="131"/>
              <w:jc w:val="both"/>
              <w:rPr>
                <w:rFonts w:ascii="Verdana" w:hAnsi="Verdana" w:cs="Arial"/>
                <w:bCs/>
                <w:color w:val="1F497D"/>
                <w:sz w:val="18"/>
                <w:szCs w:val="18"/>
              </w:rPr>
            </w:pPr>
            <w:r w:rsidRPr="00230723">
              <w:rPr>
                <w:rFonts w:ascii="Verdana" w:hAnsi="Verdana" w:cs="Arial"/>
                <w:color w:val="1F497D"/>
                <w:sz w:val="18"/>
                <w:szCs w:val="18"/>
              </w:rPr>
              <w:t>La lutte contre le décrochage scolaire fait l’objet de dispositifs de droit commun. Le contrat de ville doit permettre de mieux articuler ce droit commun avec les actions et dynamiques conduites par les acteurs de quartier (cf. fiche 1.2.2.)</w:t>
            </w:r>
            <w:r w:rsidRPr="00230723">
              <w:rPr>
                <w:color w:val="FF0000"/>
                <w:sz w:val="18"/>
                <w:szCs w:val="18"/>
              </w:rPr>
              <w:t xml:space="preserve"> </w:t>
            </w:r>
          </w:p>
          <w:p w14:paraId="4896E704" w14:textId="78891AE2" w:rsidR="00230723" w:rsidRPr="00230723" w:rsidRDefault="55879FCA" w:rsidP="55879FCA">
            <w:pPr>
              <w:pStyle w:val="TableContents"/>
              <w:numPr>
                <w:ilvl w:val="0"/>
                <w:numId w:val="7"/>
              </w:numPr>
              <w:autoSpaceDN w:val="0"/>
              <w:spacing w:before="120" w:after="120"/>
              <w:ind w:left="415" w:right="131"/>
              <w:jc w:val="both"/>
              <w:rPr>
                <w:rFonts w:ascii="Verdana,Arial" w:eastAsia="Verdana,Arial" w:hAnsi="Verdana,Arial" w:cs="Verdana,Arial"/>
                <w:bCs/>
                <w:color w:val="1F497D"/>
                <w:sz w:val="18"/>
                <w:szCs w:val="18"/>
              </w:rPr>
            </w:pPr>
            <w:r w:rsidRPr="002F6F91">
              <w:rPr>
                <w:rFonts w:ascii="Verdana" w:hAnsi="Verdana" w:cs="Arial"/>
                <w:color w:val="1F497D"/>
                <w:sz w:val="18"/>
                <w:szCs w:val="18"/>
              </w:rPr>
              <w:t>Quand les conditions de vie sont difficiles ou les perspectives d’un parcours de réussite ne sont pas appréhendées par les parents, le lien entre les enfants et l’école, et plus largement l’appétence pour un parcours scolaire réussi doit pouvoir être encouragé dans les quartiers.</w:t>
            </w:r>
            <w:r w:rsidRPr="55879FCA">
              <w:rPr>
                <w:rFonts w:ascii="Verdana,Arial" w:eastAsia="Verdana,Arial" w:hAnsi="Verdana,Arial" w:cs="Verdana,Arial"/>
                <w:color w:val="1F497D" w:themeColor="text2"/>
                <w:sz w:val="18"/>
                <w:szCs w:val="18"/>
              </w:rPr>
              <w:t xml:space="preserve"> </w:t>
            </w:r>
          </w:p>
        </w:tc>
      </w:tr>
      <w:tr w:rsidR="00611755" w:rsidRPr="00243AF9" w14:paraId="2196F9F7" w14:textId="77777777" w:rsidTr="55879FCA">
        <w:trPr>
          <w:trHeight w:val="142"/>
        </w:trPr>
        <w:tc>
          <w:tcPr>
            <w:tcW w:w="2700" w:type="dxa"/>
            <w:shd w:val="clear" w:color="auto" w:fill="B8CCE4" w:themeFill="accent1" w:themeFillTint="66"/>
          </w:tcPr>
          <w:p w14:paraId="2FF33F52"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21D10881" w14:textId="37173938" w:rsidR="00611755" w:rsidRPr="002A1808" w:rsidRDefault="00611755" w:rsidP="002A1808">
            <w:pPr>
              <w:pStyle w:val="TableContents"/>
              <w:autoSpaceDN w:val="0"/>
              <w:spacing w:before="120" w:after="120"/>
              <w:jc w:val="both"/>
              <w:rPr>
                <w:rFonts w:ascii="Verdana" w:hAnsi="Verdana" w:cs="Arial"/>
                <w:i/>
                <w:color w:val="1F497D"/>
                <w:sz w:val="20"/>
                <w:szCs w:val="20"/>
              </w:rPr>
            </w:pPr>
          </w:p>
        </w:tc>
        <w:tc>
          <w:tcPr>
            <w:tcW w:w="8130" w:type="dxa"/>
            <w:shd w:val="clear" w:color="auto" w:fill="B8CCE4" w:themeFill="accent1" w:themeFillTint="66"/>
          </w:tcPr>
          <w:p w14:paraId="10D6F58E" w14:textId="3FDC8F3A" w:rsidR="002A1808" w:rsidRPr="005813F3" w:rsidRDefault="55879FCA" w:rsidP="55879FCA">
            <w:pPr>
              <w:pStyle w:val="TableContents"/>
              <w:numPr>
                <w:ilvl w:val="0"/>
                <w:numId w:val="7"/>
              </w:numPr>
              <w:autoSpaceDN w:val="0"/>
              <w:spacing w:before="120" w:after="120"/>
              <w:ind w:left="415" w:right="131"/>
              <w:jc w:val="both"/>
              <w:rPr>
                <w:rFonts w:ascii="Verdana,Arial" w:eastAsia="Verdana,Arial" w:hAnsi="Verdana,Arial" w:cs="Verdana,Arial"/>
                <w:color w:val="1F497D"/>
                <w:sz w:val="20"/>
                <w:szCs w:val="20"/>
              </w:rPr>
            </w:pPr>
            <w:r w:rsidRPr="002F6F91">
              <w:rPr>
                <w:rFonts w:ascii="Verdana" w:hAnsi="Verdana" w:cs="Arial"/>
                <w:color w:val="1F497D"/>
                <w:sz w:val="18"/>
                <w:szCs w:val="18"/>
              </w:rPr>
              <w:t>Elaborer et animer des actions éducatives renforçant l’appétence des enfants pour les apprentissages et pour un parcours scolaire réussi.</w:t>
            </w:r>
          </w:p>
        </w:tc>
      </w:tr>
      <w:tr w:rsidR="00611755" w:rsidRPr="00243AF9" w14:paraId="1564E0E0" w14:textId="77777777" w:rsidTr="55879FCA">
        <w:trPr>
          <w:trHeight w:val="170"/>
        </w:trPr>
        <w:tc>
          <w:tcPr>
            <w:tcW w:w="2700" w:type="dxa"/>
            <w:shd w:val="clear" w:color="auto" w:fill="B8CCE4" w:themeFill="accent1" w:themeFillTint="66"/>
          </w:tcPr>
          <w:p w14:paraId="3800471B"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7DB4B07F" w14:textId="10FAE88C"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130" w:type="dxa"/>
            <w:shd w:val="clear" w:color="auto" w:fill="B8CCE4" w:themeFill="accent1" w:themeFillTint="66"/>
          </w:tcPr>
          <w:p w14:paraId="1C6AF96E" w14:textId="063184BA" w:rsidR="002A1808" w:rsidRPr="0085748E" w:rsidRDefault="002A1808" w:rsidP="0085748E">
            <w:pPr>
              <w:pStyle w:val="TableContents"/>
              <w:numPr>
                <w:ilvl w:val="0"/>
                <w:numId w:val="7"/>
              </w:numPr>
              <w:autoSpaceDN w:val="0"/>
              <w:spacing w:before="120" w:after="120"/>
              <w:ind w:right="131"/>
              <w:jc w:val="both"/>
              <w:rPr>
                <w:rFonts w:ascii="Verdana" w:hAnsi="Verdana" w:cs="Arial"/>
                <w:color w:val="1F497D"/>
                <w:sz w:val="20"/>
                <w:szCs w:val="20"/>
              </w:rPr>
            </w:pPr>
            <w:r>
              <w:rPr>
                <w:rFonts w:ascii="Verdana" w:hAnsi="Verdana" w:cs="Arial"/>
                <w:color w:val="1F497D"/>
                <w:sz w:val="18"/>
                <w:szCs w:val="20"/>
              </w:rPr>
              <w:t xml:space="preserve">Actions </w:t>
            </w:r>
            <w:r w:rsidR="0085748E">
              <w:rPr>
                <w:rFonts w:ascii="Verdana" w:hAnsi="Verdana" w:cs="Arial"/>
                <w:color w:val="1F497D"/>
                <w:sz w:val="18"/>
                <w:szCs w:val="20"/>
              </w:rPr>
              <w:t>éducatives en tant que telles (</w:t>
            </w:r>
            <w:r w:rsidR="00A0268A">
              <w:rPr>
                <w:rFonts w:ascii="Verdana" w:hAnsi="Verdana" w:cs="Arial"/>
                <w:color w:val="1F497D"/>
                <w:sz w:val="18"/>
                <w:szCs w:val="20"/>
              </w:rPr>
              <w:t>accompagnement éducatif,</w:t>
            </w:r>
            <w:r w:rsidR="00101FDB">
              <w:rPr>
                <w:rFonts w:ascii="Verdana" w:hAnsi="Verdana" w:cs="Arial"/>
                <w:color w:val="1F497D"/>
                <w:sz w:val="18"/>
                <w:szCs w:val="20"/>
              </w:rPr>
              <w:t xml:space="preserve"> ateliers péda</w:t>
            </w:r>
            <w:r w:rsidR="005813F3">
              <w:rPr>
                <w:rFonts w:ascii="Verdana" w:hAnsi="Verdana" w:cs="Arial"/>
                <w:color w:val="1F497D"/>
                <w:sz w:val="18"/>
                <w:szCs w:val="20"/>
              </w:rPr>
              <w:t>gogiques</w:t>
            </w:r>
            <w:r w:rsidR="0085748E">
              <w:rPr>
                <w:rFonts w:ascii="Verdana" w:hAnsi="Verdana" w:cs="Arial"/>
                <w:color w:val="1F497D"/>
                <w:sz w:val="18"/>
                <w:szCs w:val="20"/>
              </w:rPr>
              <w:t>, etc</w:t>
            </w:r>
            <w:r w:rsidR="00570823">
              <w:rPr>
                <w:rFonts w:ascii="Verdana" w:hAnsi="Verdana" w:cs="Arial"/>
                <w:color w:val="1F497D"/>
                <w:sz w:val="18"/>
                <w:szCs w:val="20"/>
              </w:rPr>
              <w:t>.</w:t>
            </w:r>
            <w:r w:rsidR="0085748E">
              <w:rPr>
                <w:rFonts w:ascii="Verdana" w:hAnsi="Verdana" w:cs="Arial"/>
                <w:color w:val="1F497D"/>
                <w:sz w:val="18"/>
                <w:szCs w:val="20"/>
              </w:rPr>
              <w:t>), et des a</w:t>
            </w:r>
            <w:r w:rsidRPr="0085748E">
              <w:rPr>
                <w:rFonts w:ascii="Verdana" w:hAnsi="Verdana" w:cs="Arial"/>
                <w:color w:val="1F497D"/>
                <w:sz w:val="18"/>
                <w:szCs w:val="20"/>
              </w:rPr>
              <w:t xml:space="preserve">ctions culturelles, sportives, accès au numérique, média </w:t>
            </w:r>
            <w:r w:rsidR="00A0268A" w:rsidRPr="0085748E">
              <w:rPr>
                <w:rFonts w:ascii="Verdana" w:hAnsi="Verdana" w:cs="Arial"/>
                <w:color w:val="1F497D"/>
                <w:sz w:val="18"/>
                <w:szCs w:val="20"/>
              </w:rPr>
              <w:t xml:space="preserve">techniques et scientifiques </w:t>
            </w:r>
            <w:r w:rsidRPr="0085748E">
              <w:rPr>
                <w:rFonts w:ascii="Verdana" w:hAnsi="Verdana" w:cs="Arial"/>
                <w:color w:val="1F497D"/>
                <w:sz w:val="18"/>
                <w:szCs w:val="20"/>
              </w:rPr>
              <w:t xml:space="preserve">développant l’appétence des enfants pour les apprentissages </w:t>
            </w:r>
          </w:p>
          <w:p w14:paraId="4EEFBE70" w14:textId="69982070" w:rsidR="002A1808" w:rsidRPr="002A1808" w:rsidRDefault="002A1808" w:rsidP="002A1808">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 xml:space="preserve">Interventions croisées </w:t>
            </w:r>
            <w:r w:rsidR="00A0268A">
              <w:rPr>
                <w:rFonts w:ascii="Verdana" w:hAnsi="Verdana" w:cs="Arial"/>
                <w:color w:val="1F497D"/>
                <w:sz w:val="18"/>
                <w:szCs w:val="20"/>
              </w:rPr>
              <w:t xml:space="preserve">(dans les établissements scolaires, dans les lieux de vie du quartier) </w:t>
            </w:r>
            <w:r>
              <w:rPr>
                <w:rFonts w:ascii="Verdana" w:hAnsi="Verdana" w:cs="Arial"/>
                <w:color w:val="1F497D"/>
                <w:sz w:val="18"/>
                <w:szCs w:val="20"/>
              </w:rPr>
              <w:t xml:space="preserve">des établissements scolaires </w:t>
            </w:r>
            <w:r w:rsidR="00A0268A">
              <w:rPr>
                <w:rFonts w:ascii="Verdana" w:hAnsi="Verdana" w:cs="Arial"/>
                <w:color w:val="1F497D"/>
                <w:sz w:val="18"/>
                <w:szCs w:val="20"/>
              </w:rPr>
              <w:t xml:space="preserve">d’une part, </w:t>
            </w:r>
            <w:r>
              <w:rPr>
                <w:rFonts w:ascii="Verdana" w:hAnsi="Verdana" w:cs="Arial"/>
                <w:color w:val="1F497D"/>
                <w:sz w:val="18"/>
                <w:szCs w:val="20"/>
              </w:rPr>
              <w:t xml:space="preserve">des </w:t>
            </w:r>
            <w:r w:rsidR="0085748E">
              <w:rPr>
                <w:rFonts w:ascii="Verdana" w:hAnsi="Verdana" w:cs="Arial"/>
                <w:color w:val="1F497D"/>
                <w:sz w:val="18"/>
                <w:szCs w:val="20"/>
              </w:rPr>
              <w:t xml:space="preserve">autres </w:t>
            </w:r>
            <w:r>
              <w:rPr>
                <w:rFonts w:ascii="Verdana" w:hAnsi="Verdana" w:cs="Arial"/>
                <w:color w:val="1F497D"/>
                <w:sz w:val="18"/>
                <w:szCs w:val="20"/>
              </w:rPr>
              <w:t>partenaires du contrat de ville</w:t>
            </w:r>
            <w:r w:rsidR="00A0268A">
              <w:rPr>
                <w:rFonts w:ascii="Verdana" w:hAnsi="Verdana" w:cs="Arial"/>
                <w:color w:val="1F497D"/>
                <w:sz w:val="18"/>
                <w:szCs w:val="20"/>
              </w:rPr>
              <w:t xml:space="preserve"> d’autre part,</w:t>
            </w:r>
            <w:r>
              <w:rPr>
                <w:rFonts w:ascii="Verdana" w:hAnsi="Verdana" w:cs="Arial"/>
                <w:color w:val="1F497D"/>
                <w:sz w:val="18"/>
                <w:szCs w:val="20"/>
              </w:rPr>
              <w:t xml:space="preserve"> </w:t>
            </w:r>
            <w:r w:rsidR="00A0268A">
              <w:rPr>
                <w:rFonts w:ascii="Verdana" w:hAnsi="Verdana" w:cs="Arial"/>
                <w:color w:val="1F497D"/>
                <w:sz w:val="18"/>
                <w:szCs w:val="20"/>
              </w:rPr>
              <w:t>dans le cadre</w:t>
            </w:r>
            <w:r>
              <w:rPr>
                <w:rFonts w:ascii="Verdana" w:hAnsi="Verdana" w:cs="Arial"/>
                <w:color w:val="1F497D"/>
                <w:sz w:val="18"/>
                <w:szCs w:val="20"/>
              </w:rPr>
              <w:t xml:space="preserve"> </w:t>
            </w:r>
            <w:r w:rsidR="00A0268A">
              <w:rPr>
                <w:rFonts w:ascii="Verdana" w:hAnsi="Verdana" w:cs="Arial"/>
                <w:color w:val="1F497D"/>
                <w:sz w:val="18"/>
                <w:szCs w:val="20"/>
              </w:rPr>
              <w:t>d’</w:t>
            </w:r>
            <w:r>
              <w:rPr>
                <w:rFonts w:ascii="Verdana" w:hAnsi="Verdana" w:cs="Arial"/>
                <w:color w:val="1F497D"/>
                <w:sz w:val="18"/>
                <w:szCs w:val="20"/>
              </w:rPr>
              <w:t>actions ciblées (prévention santé, sport, culture, numérique, média, techniques et scientifiques</w:t>
            </w:r>
            <w:r w:rsidR="00A0268A">
              <w:rPr>
                <w:rFonts w:ascii="Verdana" w:hAnsi="Verdana" w:cs="Arial"/>
                <w:color w:val="1F497D"/>
                <w:sz w:val="18"/>
                <w:szCs w:val="20"/>
              </w:rPr>
              <w:t>, voire sur des thèmes plus ciblés sur la persévérance scolaire – effort, progrès, échecs</w:t>
            </w:r>
            <w:r>
              <w:rPr>
                <w:rFonts w:ascii="Verdana" w:hAnsi="Verdana" w:cs="Arial"/>
                <w:color w:val="1F497D"/>
                <w:sz w:val="18"/>
                <w:szCs w:val="20"/>
              </w:rPr>
              <w:t>…)</w:t>
            </w:r>
          </w:p>
          <w:p w14:paraId="5E69A17B" w14:textId="7FED53F8" w:rsidR="0085748E" w:rsidRPr="0085748E" w:rsidRDefault="7FED53F8" w:rsidP="7FED53F8">
            <w:pPr>
              <w:pStyle w:val="TableContents"/>
              <w:numPr>
                <w:ilvl w:val="0"/>
                <w:numId w:val="7"/>
              </w:numPr>
              <w:autoSpaceDN w:val="0"/>
              <w:spacing w:before="120" w:after="120"/>
              <w:ind w:right="131"/>
              <w:jc w:val="both"/>
              <w:rPr>
                <w:rFonts w:ascii="Verdana,Arial" w:eastAsia="Verdana,Arial" w:hAnsi="Verdana,Arial" w:cs="Verdana,Arial"/>
                <w:color w:val="1F497D"/>
                <w:sz w:val="20"/>
                <w:szCs w:val="20"/>
              </w:rPr>
            </w:pPr>
            <w:r w:rsidRPr="002F6F91">
              <w:rPr>
                <w:rFonts w:ascii="Verdana" w:hAnsi="Verdana" w:cs="Arial"/>
                <w:color w:val="1F497D"/>
                <w:sz w:val="18"/>
                <w:szCs w:val="20"/>
              </w:rPr>
              <w:t>Actions permettant d’impliquer les parents dans l’école (interventions des parents en milieu scolaire, lieux destinés aux parents au sein des établissements) ou dans le suivi des parcours scolaires de leurs enfants (mallette des parents, actions éducatives familiales)</w:t>
            </w:r>
            <w:r w:rsidRPr="7FED53F8">
              <w:rPr>
                <w:rFonts w:ascii="Verdana,Arial" w:eastAsia="Verdana,Arial" w:hAnsi="Verdana,Arial" w:cs="Verdana,Arial"/>
                <w:color w:val="1F497D" w:themeColor="text2"/>
                <w:sz w:val="18"/>
                <w:szCs w:val="18"/>
              </w:rPr>
              <w:t xml:space="preserve"> </w:t>
            </w:r>
          </w:p>
        </w:tc>
      </w:tr>
      <w:tr w:rsidR="00611755" w:rsidRPr="00243AF9" w14:paraId="1A258CC8" w14:textId="77777777" w:rsidTr="55879FCA">
        <w:tc>
          <w:tcPr>
            <w:tcW w:w="2700" w:type="dxa"/>
            <w:shd w:val="clear" w:color="auto" w:fill="B8CCE4" w:themeFill="accent1" w:themeFillTint="66"/>
          </w:tcPr>
          <w:p w14:paraId="3F268B2D" w14:textId="5E6D5F91" w:rsidR="00611755" w:rsidRPr="002F6F91" w:rsidRDefault="00611755" w:rsidP="002F6F91">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bookmarkStart w:id="0" w:name="_GoBack"/>
            <w:bookmarkEnd w:id="0"/>
          </w:p>
        </w:tc>
        <w:tc>
          <w:tcPr>
            <w:tcW w:w="8130" w:type="dxa"/>
            <w:shd w:val="clear" w:color="auto" w:fill="B8CCE4" w:themeFill="accent1" w:themeFillTint="66"/>
          </w:tcPr>
          <w:p w14:paraId="44A2C933" w14:textId="1B199C55" w:rsidR="00611755" w:rsidRPr="00101FDB" w:rsidRDefault="005813F3" w:rsidP="00101FDB">
            <w:pPr>
              <w:pStyle w:val="TableContents"/>
              <w:numPr>
                <w:ilvl w:val="0"/>
                <w:numId w:val="7"/>
              </w:numPr>
              <w:autoSpaceDN w:val="0"/>
              <w:spacing w:before="120" w:after="120"/>
              <w:ind w:right="131"/>
              <w:jc w:val="both"/>
              <w:rPr>
                <w:rFonts w:ascii="Verdana" w:hAnsi="Verdana" w:cs="Arial"/>
                <w:color w:val="1F497D"/>
                <w:sz w:val="18"/>
                <w:szCs w:val="20"/>
              </w:rPr>
            </w:pPr>
            <w:r w:rsidRPr="00101FDB">
              <w:rPr>
                <w:rFonts w:ascii="Verdana" w:hAnsi="Verdana" w:cs="Arial"/>
                <w:color w:val="1F497D"/>
                <w:sz w:val="18"/>
                <w:szCs w:val="20"/>
              </w:rPr>
              <w:t>Les établisse</w:t>
            </w:r>
            <w:r w:rsidR="00570823">
              <w:rPr>
                <w:rFonts w:ascii="Verdana" w:hAnsi="Verdana" w:cs="Arial"/>
                <w:color w:val="1F497D"/>
                <w:sz w:val="18"/>
                <w:szCs w:val="20"/>
              </w:rPr>
              <w:t xml:space="preserve">ments, les acteurs du quartier </w:t>
            </w:r>
            <w:r w:rsidRPr="00101FDB">
              <w:rPr>
                <w:rFonts w:ascii="Verdana" w:hAnsi="Verdana" w:cs="Arial"/>
                <w:color w:val="1F497D"/>
                <w:sz w:val="18"/>
                <w:szCs w:val="20"/>
              </w:rPr>
              <w:t xml:space="preserve">et les parents/habitants sont </w:t>
            </w:r>
            <w:proofErr w:type="spellStart"/>
            <w:r w:rsidRPr="00101FDB">
              <w:rPr>
                <w:rFonts w:ascii="Verdana" w:hAnsi="Verdana" w:cs="Arial"/>
                <w:color w:val="1F497D"/>
                <w:sz w:val="18"/>
                <w:szCs w:val="20"/>
              </w:rPr>
              <w:t>co</w:t>
            </w:r>
            <w:proofErr w:type="spellEnd"/>
            <w:r w:rsidRPr="00101FDB">
              <w:rPr>
                <w:rFonts w:ascii="Verdana" w:hAnsi="Verdana" w:cs="Arial"/>
                <w:color w:val="1F497D"/>
                <w:sz w:val="18"/>
                <w:szCs w:val="20"/>
              </w:rPr>
              <w:t xml:space="preserve">-impliqués </w:t>
            </w:r>
            <w:r w:rsidR="00101FDB">
              <w:rPr>
                <w:rFonts w:ascii="Verdana" w:hAnsi="Verdana" w:cs="Arial"/>
                <w:color w:val="1F497D"/>
                <w:sz w:val="18"/>
                <w:szCs w:val="20"/>
              </w:rPr>
              <w:t>dans l’élaboration et la conduite</w:t>
            </w:r>
            <w:r w:rsidRPr="00101FDB">
              <w:rPr>
                <w:rFonts w:ascii="Verdana" w:hAnsi="Verdana" w:cs="Arial"/>
                <w:color w:val="1F497D"/>
                <w:sz w:val="18"/>
                <w:szCs w:val="20"/>
              </w:rPr>
              <w:t xml:space="preserve"> </w:t>
            </w:r>
            <w:r w:rsidR="00101FDB">
              <w:rPr>
                <w:rFonts w:ascii="Verdana" w:hAnsi="Verdana" w:cs="Arial"/>
                <w:color w:val="1F497D"/>
                <w:sz w:val="18"/>
                <w:szCs w:val="20"/>
              </w:rPr>
              <w:t>d’actions éducatives (au sens large)</w:t>
            </w:r>
          </w:p>
          <w:p w14:paraId="44B6213A" w14:textId="274E9BEE" w:rsidR="005813F3" w:rsidRDefault="00101FDB" w:rsidP="00101FDB">
            <w:pPr>
              <w:pStyle w:val="TableContents"/>
              <w:numPr>
                <w:ilvl w:val="0"/>
                <w:numId w:val="7"/>
              </w:numPr>
              <w:autoSpaceDN w:val="0"/>
              <w:spacing w:before="120" w:after="120"/>
              <w:ind w:right="131"/>
              <w:jc w:val="both"/>
              <w:rPr>
                <w:rFonts w:ascii="Verdana" w:hAnsi="Verdana" w:cs="Arial"/>
                <w:color w:val="1F497D"/>
                <w:sz w:val="20"/>
                <w:szCs w:val="20"/>
              </w:rPr>
            </w:pPr>
            <w:r>
              <w:rPr>
                <w:rFonts w:ascii="Verdana" w:hAnsi="Verdana" w:cs="Arial"/>
                <w:color w:val="1F497D"/>
                <w:sz w:val="18"/>
                <w:szCs w:val="20"/>
              </w:rPr>
              <w:t xml:space="preserve">L’envie d’école et l’ambition pour un parcours scolaire réussi sont renforcées chez les </w:t>
            </w:r>
            <w:r w:rsidRPr="002F6F91">
              <w:rPr>
                <w:rFonts w:ascii="Verdana" w:hAnsi="Verdana" w:cs="Arial"/>
                <w:color w:val="1F497D"/>
                <w:sz w:val="18"/>
                <w:szCs w:val="20"/>
              </w:rPr>
              <w:t>enfants</w:t>
            </w:r>
            <w:r>
              <w:rPr>
                <w:rFonts w:ascii="Verdana" w:hAnsi="Verdana" w:cs="Arial"/>
                <w:color w:val="1F497D"/>
                <w:sz w:val="18"/>
                <w:szCs w:val="20"/>
              </w:rPr>
              <w:t xml:space="preserve"> des quartiers</w:t>
            </w:r>
          </w:p>
        </w:tc>
      </w:tr>
      <w:tr w:rsidR="00611755" w:rsidRPr="00243AF9" w14:paraId="0B1DB1E9" w14:textId="77777777" w:rsidTr="55879FCA">
        <w:tc>
          <w:tcPr>
            <w:tcW w:w="2700" w:type="dxa"/>
            <w:shd w:val="clear" w:color="auto" w:fill="B8CCE4" w:themeFill="accent1" w:themeFillTint="66"/>
          </w:tcPr>
          <w:p w14:paraId="065B2AB6" w14:textId="399B0A3D" w:rsidR="00611755" w:rsidRPr="002F6F91" w:rsidRDefault="00611755" w:rsidP="002F6F91">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tc>
        <w:tc>
          <w:tcPr>
            <w:tcW w:w="8130" w:type="dxa"/>
            <w:shd w:val="clear" w:color="auto" w:fill="B8CCE4" w:themeFill="accent1" w:themeFillTint="66"/>
          </w:tcPr>
          <w:p w14:paraId="72824854" w14:textId="1E2D8F2E" w:rsidR="00611755" w:rsidRPr="00243AF9" w:rsidRDefault="00101FDB" w:rsidP="00101FDB">
            <w:pPr>
              <w:pStyle w:val="TableContents"/>
              <w:numPr>
                <w:ilvl w:val="0"/>
                <w:numId w:val="7"/>
              </w:numPr>
              <w:autoSpaceDN w:val="0"/>
              <w:spacing w:before="120" w:after="120"/>
              <w:ind w:right="131"/>
              <w:jc w:val="both"/>
              <w:rPr>
                <w:rFonts w:ascii="Verdana" w:hAnsi="Verdana" w:cs="Arial"/>
                <w:color w:val="1F497D"/>
                <w:sz w:val="20"/>
                <w:szCs w:val="20"/>
              </w:rPr>
            </w:pPr>
            <w:r w:rsidRPr="00101FDB">
              <w:rPr>
                <w:rFonts w:ascii="Verdana" w:hAnsi="Verdana" w:cs="Arial"/>
                <w:color w:val="1F497D"/>
                <w:sz w:val="18"/>
                <w:szCs w:val="20"/>
              </w:rPr>
              <w:t>Quartiers</w:t>
            </w:r>
          </w:p>
        </w:tc>
      </w:tr>
      <w:tr w:rsidR="00611755" w:rsidRPr="00243AF9" w14:paraId="30E92ED2" w14:textId="77777777" w:rsidTr="55879FCA">
        <w:tc>
          <w:tcPr>
            <w:tcW w:w="2700" w:type="dxa"/>
            <w:shd w:val="clear" w:color="auto" w:fill="B8CCE4" w:themeFill="accent1" w:themeFillTint="66"/>
          </w:tcPr>
          <w:p w14:paraId="403C680A" w14:textId="1B3F9CFE" w:rsidR="00611755" w:rsidRPr="002F6F91" w:rsidRDefault="00D87FB9" w:rsidP="002F6F91">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8130" w:type="dxa"/>
            <w:shd w:val="clear" w:color="auto" w:fill="B8CCE4" w:themeFill="accent1" w:themeFillTint="66"/>
          </w:tcPr>
          <w:p w14:paraId="68702285" w14:textId="6D6DC217" w:rsidR="00101FDB" w:rsidRPr="00101FDB" w:rsidRDefault="00101FDB" w:rsidP="00101FDB">
            <w:pPr>
              <w:pStyle w:val="TableContents"/>
              <w:numPr>
                <w:ilvl w:val="0"/>
                <w:numId w:val="7"/>
              </w:numPr>
              <w:autoSpaceDN w:val="0"/>
              <w:spacing w:before="120" w:after="120"/>
              <w:ind w:right="131"/>
              <w:jc w:val="both"/>
              <w:rPr>
                <w:rFonts w:ascii="Verdana" w:hAnsi="Verdana" w:cs="Arial"/>
                <w:color w:val="1F497D"/>
                <w:sz w:val="20"/>
                <w:szCs w:val="20"/>
              </w:rPr>
            </w:pPr>
            <w:r w:rsidRPr="00101FDB">
              <w:rPr>
                <w:rFonts w:ascii="Verdana" w:hAnsi="Verdana" w:cs="Arial"/>
                <w:color w:val="1F497D"/>
                <w:sz w:val="18"/>
                <w:szCs w:val="20"/>
              </w:rPr>
              <w:t>Animation dans le cadre des projets de quartier par les villes, dans le cadre de l’animation territoriale du contrat de ville</w:t>
            </w:r>
          </w:p>
        </w:tc>
      </w:tr>
      <w:tr w:rsidR="00611755" w:rsidRPr="00243AF9" w14:paraId="6187D2E0" w14:textId="77777777" w:rsidTr="55879FCA">
        <w:trPr>
          <w:trHeight w:val="95"/>
        </w:trPr>
        <w:tc>
          <w:tcPr>
            <w:tcW w:w="2700" w:type="dxa"/>
            <w:shd w:val="clear" w:color="auto" w:fill="B8CCE4" w:themeFill="accent1" w:themeFillTint="66"/>
          </w:tcPr>
          <w:p w14:paraId="7CB5F458"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14:paraId="6B6BCDCD"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14:paraId="21C318CD" w14:textId="14331C08" w:rsidR="00611755" w:rsidRPr="00611755" w:rsidRDefault="00611755" w:rsidP="002F6F91">
            <w:pPr>
              <w:pStyle w:val="TableContents"/>
              <w:spacing w:before="120" w:after="120"/>
              <w:ind w:right="-10"/>
              <w:rPr>
                <w:rFonts w:ascii="Verdana" w:hAnsi="Verdana" w:cs="Verdana"/>
                <w:bCs/>
                <w:i/>
                <w:color w:val="1F497D"/>
                <w:sz w:val="20"/>
                <w:szCs w:val="20"/>
              </w:rPr>
            </w:pPr>
          </w:p>
        </w:tc>
        <w:tc>
          <w:tcPr>
            <w:tcW w:w="8130" w:type="dxa"/>
            <w:shd w:val="clear" w:color="auto" w:fill="B8CCE4" w:themeFill="accent1" w:themeFillTint="66"/>
          </w:tcPr>
          <w:p w14:paraId="1E58A576" w14:textId="1A191091" w:rsidR="00101FDB" w:rsidRPr="002F6F91" w:rsidRDefault="55879FCA" w:rsidP="55879FCA">
            <w:pPr>
              <w:pStyle w:val="TableContents"/>
              <w:numPr>
                <w:ilvl w:val="0"/>
                <w:numId w:val="7"/>
              </w:numPr>
              <w:autoSpaceDN w:val="0"/>
              <w:spacing w:before="120" w:after="120"/>
              <w:ind w:right="131"/>
              <w:jc w:val="both"/>
              <w:rPr>
                <w:rFonts w:ascii="Verdana" w:hAnsi="Verdana" w:cs="Arial"/>
                <w:color w:val="1F497D"/>
                <w:sz w:val="18"/>
                <w:szCs w:val="20"/>
              </w:rPr>
            </w:pPr>
            <w:r w:rsidRPr="002F6F91">
              <w:rPr>
                <w:rFonts w:ascii="Verdana" w:hAnsi="Verdana" w:cs="Arial"/>
                <w:color w:val="1F497D"/>
                <w:sz w:val="18"/>
                <w:szCs w:val="20"/>
              </w:rPr>
              <w:t>Partenaires : Education nationale (Direction des Services Départementaux de l'Education Nationale et établissements scolaires) ; Communes ; CAF ; Conseil départemental ; DDCS ; Région</w:t>
            </w:r>
          </w:p>
          <w:p w14:paraId="5FE95B71" w14:textId="4E287641" w:rsidR="00101FDB" w:rsidRDefault="00101FDB" w:rsidP="00101FDB">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Acteurs : établissements scolaires, REAAP (réseau d’écoute, d’ap</w:t>
            </w:r>
            <w:r w:rsidR="00570823">
              <w:rPr>
                <w:rFonts w:ascii="Verdana" w:hAnsi="Verdana" w:cs="Arial"/>
                <w:color w:val="1F497D"/>
                <w:sz w:val="18"/>
                <w:szCs w:val="20"/>
              </w:rPr>
              <w:t>pui et d’accompagnement des par</w:t>
            </w:r>
            <w:r>
              <w:rPr>
                <w:rFonts w:ascii="Verdana" w:hAnsi="Verdana" w:cs="Arial"/>
                <w:color w:val="1F497D"/>
                <w:sz w:val="18"/>
                <w:szCs w:val="20"/>
              </w:rPr>
              <w:t>ents, lieux d’accuei</w:t>
            </w:r>
            <w:r w:rsidR="00F55E12">
              <w:rPr>
                <w:rFonts w:ascii="Verdana" w:hAnsi="Verdana" w:cs="Arial"/>
                <w:color w:val="1F497D"/>
                <w:sz w:val="18"/>
                <w:szCs w:val="20"/>
              </w:rPr>
              <w:t>l Parents), centres sociaux, opérateurs associatifs</w:t>
            </w:r>
          </w:p>
          <w:p w14:paraId="549B3688" w14:textId="35D7846B" w:rsidR="00F55E12" w:rsidRPr="00101FDB" w:rsidRDefault="55879FCA" w:rsidP="55879FCA">
            <w:pPr>
              <w:pStyle w:val="TableContents"/>
              <w:numPr>
                <w:ilvl w:val="0"/>
                <w:numId w:val="7"/>
              </w:numPr>
              <w:autoSpaceDN w:val="0"/>
              <w:spacing w:before="120" w:after="120"/>
              <w:ind w:right="131"/>
              <w:jc w:val="both"/>
              <w:rPr>
                <w:rFonts w:ascii="Verdana,Arial" w:eastAsia="Verdana,Arial" w:hAnsi="Verdana,Arial" w:cs="Verdana,Arial"/>
                <w:color w:val="1F497D"/>
                <w:sz w:val="18"/>
                <w:szCs w:val="18"/>
              </w:rPr>
            </w:pPr>
            <w:r w:rsidRPr="002F6F91">
              <w:rPr>
                <w:rFonts w:ascii="Verdana" w:hAnsi="Verdana" w:cs="Arial"/>
                <w:color w:val="1F497D"/>
                <w:sz w:val="18"/>
                <w:szCs w:val="20"/>
              </w:rPr>
              <w:t>Dispositifs : contrats locaux d’accompagnement à la scolarité, programme de réussite éducative ; actions éducatives en lien avec les parents (CAF, Actions éducatives familiales…), plateforme PSAD ; référents décrochage scolaires ; ma « seconde chance » (service en ligne d’orientation pour les jeunes en décrochage scolaire) ; « droit au retour en formation » (Etat), mission de lutte contre le décrochage scolaire</w:t>
            </w:r>
          </w:p>
        </w:tc>
      </w:tr>
      <w:tr w:rsidR="00611755" w:rsidRPr="00243AF9" w14:paraId="649D81C4" w14:textId="77777777" w:rsidTr="55879FCA">
        <w:tc>
          <w:tcPr>
            <w:tcW w:w="2700" w:type="dxa"/>
            <w:shd w:val="clear" w:color="auto" w:fill="B8CCE4" w:themeFill="accent1" w:themeFillTint="66"/>
          </w:tcPr>
          <w:p w14:paraId="688179A1" w14:textId="6338C6E5" w:rsidR="00611755" w:rsidRPr="00243AF9" w:rsidRDefault="00611755" w:rsidP="002F6F91">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8130" w:type="dxa"/>
            <w:shd w:val="clear" w:color="auto" w:fill="B8CCE4" w:themeFill="accent1" w:themeFillTint="66"/>
          </w:tcPr>
          <w:p w14:paraId="38334714" w14:textId="0CD69A65" w:rsidR="00611755" w:rsidRPr="002F6F91" w:rsidRDefault="7FED53F8" w:rsidP="002F6F91">
            <w:pPr>
              <w:pStyle w:val="TableContents"/>
              <w:numPr>
                <w:ilvl w:val="0"/>
                <w:numId w:val="7"/>
              </w:numPr>
              <w:autoSpaceDN w:val="0"/>
              <w:spacing w:before="120" w:after="120"/>
              <w:ind w:right="131"/>
              <w:jc w:val="both"/>
              <w:rPr>
                <w:rFonts w:ascii="Verdana" w:hAnsi="Verdana" w:cs="Arial"/>
                <w:color w:val="1F497D"/>
                <w:sz w:val="18"/>
                <w:szCs w:val="20"/>
              </w:rPr>
            </w:pPr>
            <w:r w:rsidRPr="002F6F91">
              <w:rPr>
                <w:rFonts w:ascii="Verdana" w:hAnsi="Verdana" w:cs="Arial"/>
                <w:color w:val="1F497D"/>
                <w:sz w:val="18"/>
                <w:szCs w:val="20"/>
              </w:rPr>
              <w:t>Crédits de droit commun : éducation nationale, Région, ...</w:t>
            </w:r>
          </w:p>
          <w:p w14:paraId="4A241098" w14:textId="12941DC7" w:rsidR="00611755" w:rsidRPr="00243AF9" w:rsidRDefault="7FED53F8" w:rsidP="002F6F91">
            <w:pPr>
              <w:pStyle w:val="TableContents"/>
              <w:numPr>
                <w:ilvl w:val="0"/>
                <w:numId w:val="7"/>
              </w:numPr>
              <w:autoSpaceDN w:val="0"/>
              <w:spacing w:before="120" w:after="120"/>
              <w:ind w:right="131"/>
              <w:jc w:val="both"/>
              <w:rPr>
                <w:rFonts w:ascii="Verdana,Arial" w:eastAsia="Verdana,Arial" w:hAnsi="Verdana,Arial" w:cs="Verdana,Arial"/>
                <w:color w:val="E36C0A" w:themeColor="accent6" w:themeShade="BF"/>
                <w:sz w:val="18"/>
                <w:szCs w:val="18"/>
              </w:rPr>
            </w:pPr>
            <w:r w:rsidRPr="002F6F91">
              <w:rPr>
                <w:rFonts w:ascii="Verdana" w:hAnsi="Verdana" w:cs="Arial"/>
                <w:color w:val="1F497D"/>
                <w:sz w:val="18"/>
                <w:szCs w:val="20"/>
              </w:rPr>
              <w:t>Appel à projet politique de la ville</w:t>
            </w:r>
          </w:p>
        </w:tc>
      </w:tr>
      <w:tr w:rsidR="00611755" w:rsidRPr="00243AF9" w14:paraId="74D6403A" w14:textId="77777777" w:rsidTr="55879FCA">
        <w:trPr>
          <w:trHeight w:val="272"/>
        </w:trPr>
        <w:tc>
          <w:tcPr>
            <w:tcW w:w="2700" w:type="dxa"/>
            <w:shd w:val="clear" w:color="auto" w:fill="B8CCE4" w:themeFill="accent1" w:themeFillTint="66"/>
          </w:tcPr>
          <w:p w14:paraId="4671A245" w14:textId="1532C96E" w:rsidR="00611755" w:rsidRPr="002F6F91" w:rsidRDefault="00611755" w:rsidP="002F6F91">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lastRenderedPageBreak/>
              <w:t>Calendrier</w:t>
            </w:r>
          </w:p>
        </w:tc>
        <w:tc>
          <w:tcPr>
            <w:tcW w:w="8130" w:type="dxa"/>
            <w:shd w:val="clear" w:color="auto" w:fill="B8CCE4" w:themeFill="accent1" w:themeFillTint="66"/>
          </w:tcPr>
          <w:p w14:paraId="106B061D" w14:textId="420F7DA9" w:rsidR="00611755" w:rsidRPr="00243AF9" w:rsidRDefault="007214E0" w:rsidP="007214E0">
            <w:pPr>
              <w:pStyle w:val="TableContents"/>
              <w:numPr>
                <w:ilvl w:val="0"/>
                <w:numId w:val="7"/>
              </w:numPr>
              <w:autoSpaceDN w:val="0"/>
              <w:spacing w:before="120" w:after="120"/>
              <w:ind w:right="131"/>
              <w:jc w:val="both"/>
              <w:rPr>
                <w:rFonts w:ascii="Verdana" w:hAnsi="Verdana" w:cs="Arial"/>
                <w:color w:val="1F497D"/>
                <w:sz w:val="20"/>
                <w:szCs w:val="20"/>
              </w:rPr>
            </w:pPr>
            <w:r w:rsidRPr="007214E0">
              <w:rPr>
                <w:rFonts w:ascii="Verdana" w:hAnsi="Verdana" w:cs="Arial"/>
                <w:color w:val="1F497D"/>
                <w:sz w:val="18"/>
                <w:szCs w:val="20"/>
              </w:rPr>
              <w:t>En continu</w:t>
            </w:r>
          </w:p>
        </w:tc>
      </w:tr>
      <w:tr w:rsidR="005F0153" w:rsidRPr="00243AF9" w14:paraId="52DD1DAA" w14:textId="77777777" w:rsidTr="55879FCA">
        <w:tc>
          <w:tcPr>
            <w:tcW w:w="2700" w:type="dxa"/>
            <w:shd w:val="clear" w:color="auto" w:fill="B8CCE4" w:themeFill="accent1" w:themeFillTint="66"/>
          </w:tcPr>
          <w:p w14:paraId="5A6AEC07" w14:textId="77777777"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52EDA53A" w14:textId="5D549CF8" w:rsidR="005F0153" w:rsidRDefault="005F0153" w:rsidP="002F6F91">
            <w:pPr>
              <w:pStyle w:val="TableContents"/>
              <w:spacing w:before="120" w:after="120"/>
              <w:ind w:right="-10"/>
              <w:rPr>
                <w:rFonts w:ascii="Verdana" w:hAnsi="Verdana" w:cs="Verdana"/>
                <w:b/>
                <w:bCs/>
                <w:color w:val="1F497D"/>
                <w:sz w:val="20"/>
                <w:szCs w:val="20"/>
              </w:rPr>
            </w:pPr>
          </w:p>
        </w:tc>
        <w:tc>
          <w:tcPr>
            <w:tcW w:w="8130" w:type="dxa"/>
            <w:shd w:val="clear" w:color="auto" w:fill="B8CCE4" w:themeFill="accent1" w:themeFillTint="66"/>
          </w:tcPr>
          <w:p w14:paraId="79B17B63" w14:textId="77777777" w:rsidR="0085748E" w:rsidRPr="002F6F91" w:rsidRDefault="00917745" w:rsidP="55879FCA">
            <w:pPr>
              <w:pStyle w:val="TableContents"/>
              <w:numPr>
                <w:ilvl w:val="0"/>
                <w:numId w:val="7"/>
              </w:numPr>
              <w:autoSpaceDN w:val="0"/>
              <w:spacing w:before="120" w:after="120"/>
              <w:ind w:right="131"/>
              <w:jc w:val="both"/>
              <w:rPr>
                <w:rFonts w:ascii="Verdana" w:hAnsi="Verdana" w:cs="Arial"/>
                <w:color w:val="1F497D"/>
                <w:sz w:val="18"/>
                <w:szCs w:val="20"/>
              </w:rPr>
            </w:pPr>
            <w:r w:rsidRPr="002F6F91">
              <w:rPr>
                <w:rFonts w:ascii="Verdana" w:hAnsi="Verdana" w:cs="Arial"/>
                <w:color w:val="1F497D"/>
                <w:sz w:val="18"/>
                <w:szCs w:val="20"/>
              </w:rPr>
              <w:t xml:space="preserve">Augmentation des actions </w:t>
            </w:r>
            <w:proofErr w:type="spellStart"/>
            <w:r w:rsidRPr="002F6F91">
              <w:rPr>
                <w:rFonts w:ascii="Verdana" w:hAnsi="Verdana" w:cs="Arial"/>
                <w:color w:val="1F497D"/>
                <w:sz w:val="18"/>
                <w:szCs w:val="20"/>
              </w:rPr>
              <w:t>sus-citées</w:t>
            </w:r>
            <w:proofErr w:type="spellEnd"/>
            <w:r w:rsidRPr="002F6F91">
              <w:rPr>
                <w:rFonts w:ascii="Verdana" w:hAnsi="Verdana" w:cs="Arial"/>
                <w:color w:val="1F497D"/>
                <w:sz w:val="18"/>
                <w:szCs w:val="20"/>
              </w:rPr>
              <w:t xml:space="preserve"> (</w:t>
            </w:r>
            <w:r w:rsidR="0085748E" w:rsidRPr="002F6F91">
              <w:rPr>
                <w:rFonts w:ascii="Verdana" w:hAnsi="Verdana" w:cs="Arial"/>
                <w:color w:val="1F497D"/>
                <w:sz w:val="18"/>
                <w:szCs w:val="20"/>
              </w:rPr>
              <w:t xml:space="preserve">actions </w:t>
            </w:r>
            <w:r w:rsidRPr="002F6F91">
              <w:rPr>
                <w:rFonts w:ascii="Verdana" w:hAnsi="Verdana" w:cs="Arial"/>
                <w:color w:val="1F497D"/>
                <w:sz w:val="18"/>
                <w:szCs w:val="20"/>
              </w:rPr>
              <w:t xml:space="preserve">éducatives, </w:t>
            </w:r>
            <w:r w:rsidR="0085748E" w:rsidRPr="002F6F91">
              <w:rPr>
                <w:rFonts w:ascii="Verdana" w:hAnsi="Verdana" w:cs="Arial"/>
                <w:color w:val="1F497D"/>
                <w:sz w:val="18"/>
                <w:szCs w:val="20"/>
              </w:rPr>
              <w:t>actions croisées école/partenaires/ parents)</w:t>
            </w:r>
          </w:p>
          <w:p w14:paraId="01E8965D" w14:textId="358BE1CC" w:rsidR="0085748E" w:rsidRPr="0085748E" w:rsidRDefault="0085748E" w:rsidP="0085748E">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 xml:space="preserve">Nombre </w:t>
            </w:r>
            <w:r w:rsidRPr="002F6F91">
              <w:rPr>
                <w:rFonts w:ascii="Verdana" w:hAnsi="Verdana" w:cs="Arial"/>
                <w:color w:val="1F497D"/>
                <w:sz w:val="18"/>
                <w:szCs w:val="20"/>
              </w:rPr>
              <w:t xml:space="preserve">d’enfants </w:t>
            </w:r>
            <w:r>
              <w:rPr>
                <w:rFonts w:ascii="Verdana" w:hAnsi="Verdana" w:cs="Arial"/>
                <w:color w:val="1F497D"/>
                <w:sz w:val="18"/>
                <w:szCs w:val="20"/>
              </w:rPr>
              <w:t>bénéficiant de ces actions</w:t>
            </w:r>
          </w:p>
        </w:tc>
      </w:tr>
      <w:tr w:rsidR="00D87FB9" w:rsidRPr="00243AF9" w14:paraId="5167061E" w14:textId="77777777" w:rsidTr="55879FCA">
        <w:tc>
          <w:tcPr>
            <w:tcW w:w="2700" w:type="dxa"/>
            <w:shd w:val="clear" w:color="auto" w:fill="B8CCE4" w:themeFill="accent1" w:themeFillTint="66"/>
          </w:tcPr>
          <w:p w14:paraId="07C7DF3A" w14:textId="2782EF3F"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14:paraId="19CB5DBC" w14:textId="10AB8888" w:rsidR="00D87FB9" w:rsidRDefault="00D87FB9" w:rsidP="00D87FB9">
            <w:pPr>
              <w:pStyle w:val="TableContents"/>
              <w:spacing w:before="120" w:after="120"/>
              <w:ind w:left="71" w:right="-10"/>
              <w:rPr>
                <w:rFonts w:ascii="Verdana" w:hAnsi="Verdana" w:cs="Verdana"/>
                <w:b/>
                <w:bCs/>
                <w:color w:val="1F497D"/>
                <w:sz w:val="20"/>
                <w:szCs w:val="20"/>
              </w:rPr>
            </w:pPr>
          </w:p>
        </w:tc>
        <w:tc>
          <w:tcPr>
            <w:tcW w:w="8130" w:type="dxa"/>
            <w:shd w:val="clear" w:color="auto" w:fill="B8CCE4" w:themeFill="accent1" w:themeFillTint="66"/>
          </w:tcPr>
          <w:p w14:paraId="559C58AC" w14:textId="77777777" w:rsidR="0085748E" w:rsidRPr="002F6F91" w:rsidRDefault="0085748E" w:rsidP="7FED53F8">
            <w:pPr>
              <w:pStyle w:val="TableContents"/>
              <w:numPr>
                <w:ilvl w:val="0"/>
                <w:numId w:val="7"/>
              </w:numPr>
              <w:autoSpaceDN w:val="0"/>
              <w:spacing w:before="120" w:after="120"/>
              <w:ind w:right="131"/>
              <w:jc w:val="both"/>
              <w:rPr>
                <w:rFonts w:ascii="Verdana" w:hAnsi="Verdana" w:cs="Arial"/>
                <w:color w:val="1F497D"/>
                <w:sz w:val="18"/>
                <w:szCs w:val="20"/>
              </w:rPr>
            </w:pPr>
            <w:r w:rsidRPr="002F6F91">
              <w:rPr>
                <w:rFonts w:ascii="Verdana" w:hAnsi="Verdana" w:cs="Arial"/>
                <w:color w:val="1F497D"/>
                <w:sz w:val="18"/>
                <w:szCs w:val="20"/>
              </w:rPr>
              <w:t>Augmentation de la fréquentation des actions « éducatives » au sens large</w:t>
            </w:r>
          </w:p>
          <w:p w14:paraId="5D1539AA" w14:textId="193B22AB" w:rsidR="0085748E" w:rsidRDefault="0085748E" w:rsidP="0085748E">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Indicateurs de réussite scolaire de l’éducation nationale</w:t>
            </w:r>
          </w:p>
          <w:p w14:paraId="29D7A879" w14:textId="3FEB05EE" w:rsidR="0085748E" w:rsidRPr="007214E0" w:rsidRDefault="0085748E"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Indicateurs du décrochage scolaire</w:t>
            </w:r>
          </w:p>
        </w:tc>
      </w:tr>
      <w:tr w:rsidR="00611755" w:rsidRPr="00243AF9" w14:paraId="7F8964DE" w14:textId="77777777" w:rsidTr="55879FCA">
        <w:tc>
          <w:tcPr>
            <w:tcW w:w="2700" w:type="dxa"/>
            <w:shd w:val="clear" w:color="auto" w:fill="B8CCE4" w:themeFill="accent1" w:themeFillTint="66"/>
          </w:tcPr>
          <w:p w14:paraId="786296C5" w14:textId="6A029B8B"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130" w:type="dxa"/>
            <w:shd w:val="clear" w:color="auto" w:fill="B8CCE4" w:themeFill="accent1" w:themeFillTint="66"/>
          </w:tcPr>
          <w:p w14:paraId="74C5C45A" w14:textId="538A3E8E"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Enjeu 1.1.1. Adapter en continu les dispositifs, équipements et l’offre de services au regard des besoins de chaque quartier prioritaire</w:t>
            </w:r>
          </w:p>
          <w:p w14:paraId="6FBF964A" w14:textId="05C74CA3" w:rsidR="007214E0" w:rsidRPr="002F6F91" w:rsidRDefault="55879FCA" w:rsidP="55879FCA">
            <w:pPr>
              <w:pStyle w:val="TableContents"/>
              <w:numPr>
                <w:ilvl w:val="0"/>
                <w:numId w:val="7"/>
              </w:numPr>
              <w:autoSpaceDN w:val="0"/>
              <w:spacing w:before="120" w:after="120"/>
              <w:ind w:right="131"/>
              <w:jc w:val="both"/>
              <w:rPr>
                <w:rFonts w:ascii="Verdana" w:hAnsi="Verdana" w:cs="Arial"/>
                <w:color w:val="1F497D"/>
                <w:sz w:val="18"/>
                <w:szCs w:val="20"/>
              </w:rPr>
            </w:pPr>
            <w:r w:rsidRPr="002F6F91">
              <w:rPr>
                <w:rFonts w:ascii="Verdana" w:hAnsi="Verdana" w:cs="Arial"/>
                <w:color w:val="1F497D"/>
                <w:sz w:val="18"/>
                <w:szCs w:val="20"/>
              </w:rPr>
              <w:t>Enjeu 1.2.2. Prévenir le décrochage scolaire des enfants des quartiers prioritaires et renforcer l’appétence pour l’école. Fiche « faire connaître les dispositifs de droit commun à tous les acteurs afin de mieux les mobiliser »</w:t>
            </w:r>
          </w:p>
          <w:p w14:paraId="3BA328BA" w14:textId="64175FB5"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Enjeu 1.2.3. Développer l’accès et adapter l’offre éducative en continu pour les enfants et les adolescents</w:t>
            </w:r>
          </w:p>
          <w:p w14:paraId="4A698A5D" w14:textId="77777777" w:rsidR="00611755"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Enjeu 1.2.4. Développer les dynamiques de soutien à la parentalité et renforcer le lien avec les familles</w:t>
            </w:r>
          </w:p>
          <w:p w14:paraId="45661B9C" w14:textId="77777777"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Axe 1.3. Favoriser la prévention et l’accès à la santé dans les quartiers prioritaires</w:t>
            </w:r>
          </w:p>
          <w:p w14:paraId="7BDE1107" w14:textId="11404390"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Enjeu 3.1.1. Restaurer la confiance des habitants des quartiers prioritaires pour un parcours professionnel réaliste</w:t>
            </w:r>
          </w:p>
          <w:p w14:paraId="686509E2" w14:textId="77777777"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Axe T.1. Prévenir et lutter contre les discriminations (représentations et stéréotypes)</w:t>
            </w:r>
          </w:p>
          <w:p w14:paraId="0738FF7E" w14:textId="77777777" w:rsid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Axe T.2. Jeunesse</w:t>
            </w:r>
          </w:p>
          <w:p w14:paraId="793EF6A7" w14:textId="2141FEF0" w:rsidR="007214E0" w:rsidRPr="007214E0" w:rsidRDefault="007214E0" w:rsidP="007214E0">
            <w:pPr>
              <w:pStyle w:val="TableContents"/>
              <w:numPr>
                <w:ilvl w:val="0"/>
                <w:numId w:val="7"/>
              </w:numPr>
              <w:autoSpaceDN w:val="0"/>
              <w:spacing w:before="120" w:after="120"/>
              <w:ind w:right="131"/>
              <w:jc w:val="both"/>
              <w:rPr>
                <w:rFonts w:ascii="Verdana" w:hAnsi="Verdana" w:cs="Arial"/>
                <w:color w:val="1F497D"/>
                <w:sz w:val="18"/>
                <w:szCs w:val="20"/>
              </w:rPr>
            </w:pPr>
            <w:r>
              <w:rPr>
                <w:rFonts w:ascii="Verdana" w:hAnsi="Verdana" w:cs="Arial"/>
                <w:color w:val="1F497D"/>
                <w:sz w:val="18"/>
                <w:szCs w:val="20"/>
              </w:rPr>
              <w:t>Axe T.3. Promouvoir l’égalité hommes femmes dans les quartiers</w:t>
            </w:r>
          </w:p>
        </w:tc>
      </w:tr>
    </w:tbl>
    <w:p w14:paraId="54EF90C2" w14:textId="30AE36D4" w:rsidR="00611755" w:rsidRDefault="00611755" w:rsidP="008D57C0">
      <w:pPr>
        <w:pStyle w:val="WW-Standard"/>
        <w:tabs>
          <w:tab w:val="left" w:pos="5920"/>
        </w:tabs>
        <w:spacing w:after="57"/>
        <w:rPr>
          <w:rFonts w:ascii="Verdana" w:hAnsi="Verdana" w:cs="Verdana"/>
          <w:b/>
          <w:bCs/>
          <w:sz w:val="28"/>
          <w:szCs w:val="28"/>
        </w:rPr>
      </w:pPr>
    </w:p>
    <w:p w14:paraId="059142EA" w14:textId="77777777" w:rsidR="00827890" w:rsidRPr="00827890" w:rsidRDefault="00827890" w:rsidP="00DC1068">
      <w:pPr>
        <w:widowControl/>
        <w:suppressAutoHyphens w:val="0"/>
        <w:textAlignment w:val="auto"/>
      </w:pPr>
    </w:p>
    <w:sectPr w:rsidR="00827890" w:rsidRPr="00827890"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0CD9953D"/>
  <w15:commentEx w15:done="0" w15:paraId="0E0A4DD2"/>
  <w15:commentEx w15:done="0" w15:paraId="03E726FF"/>
  <w15:commentEx w15:done="0" w15:paraId="1BFF5B77"/>
  <w15:commentEx w15:done="0" w15:paraId="1453805A"/>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DD760" w14:textId="77777777" w:rsidR="00A31344" w:rsidRDefault="00A31344" w:rsidP="00A03715">
      <w:pPr>
        <w:pStyle w:val="TableContents"/>
      </w:pPr>
      <w:r>
        <w:separator/>
      </w:r>
    </w:p>
  </w:endnote>
  <w:endnote w:type="continuationSeparator" w:id="0">
    <w:p w14:paraId="304EBD1B" w14:textId="77777777" w:rsidR="00A31344" w:rsidRDefault="00A31344"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roman"/>
    <w:pitch w:val="variable"/>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22A10" w14:textId="77777777" w:rsidR="00917745" w:rsidRDefault="0091774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3234839A" w14:textId="77777777" w:rsidR="00917745" w:rsidRDefault="00917745" w:rsidP="00973B15">
    <w:pPr>
      <w:pStyle w:val="Pieddepage"/>
      <w:widowControl/>
      <w:jc w:val="right"/>
    </w:pPr>
    <w:r>
      <w:rPr>
        <w:rFonts w:ascii="Verdana" w:hAnsi="Verdana" w:cs="Verdana"/>
        <w:sz w:val="16"/>
        <w:szCs w:val="16"/>
      </w:rPr>
      <w:t>Fiche 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9CBDD" w14:textId="77777777" w:rsidR="00A31344" w:rsidRDefault="00A31344" w:rsidP="00A03715">
      <w:pPr>
        <w:pStyle w:val="TableContents"/>
      </w:pPr>
      <w:r>
        <w:separator/>
      </w:r>
    </w:p>
  </w:footnote>
  <w:footnote w:type="continuationSeparator" w:id="0">
    <w:p w14:paraId="31CD3EB1" w14:textId="77777777" w:rsidR="00A31344" w:rsidRDefault="00A31344"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8687B0D"/>
    <w:multiLevelType w:val="hybridMultilevel"/>
    <w:tmpl w:val="073276B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6D9408A5"/>
    <w:multiLevelType w:val="hybridMultilevel"/>
    <w:tmpl w:val="BB7273D4"/>
    <w:lvl w:ilvl="0" w:tplc="F87C5EE6">
      <w:start w:val="1"/>
      <w:numFmt w:val="bullet"/>
      <w:lvlText w:val=""/>
      <w:lvlJc w:val="left"/>
      <w:pPr>
        <w:ind w:left="720" w:hanging="360"/>
      </w:pPr>
      <w:rPr>
        <w:rFonts w:ascii="Symbol" w:hAnsi="Symbol" w:hint="default"/>
      </w:rPr>
    </w:lvl>
    <w:lvl w:ilvl="1" w:tplc="16FC0790">
      <w:start w:val="1"/>
      <w:numFmt w:val="bullet"/>
      <w:lvlText w:val="o"/>
      <w:lvlJc w:val="left"/>
      <w:pPr>
        <w:ind w:left="1440" w:hanging="360"/>
      </w:pPr>
      <w:rPr>
        <w:rFonts w:ascii="Courier New" w:hAnsi="Courier New" w:hint="default"/>
      </w:rPr>
    </w:lvl>
    <w:lvl w:ilvl="2" w:tplc="8586FFBE">
      <w:start w:val="1"/>
      <w:numFmt w:val="bullet"/>
      <w:lvlText w:val=""/>
      <w:lvlJc w:val="left"/>
      <w:pPr>
        <w:ind w:left="2160" w:hanging="360"/>
      </w:pPr>
      <w:rPr>
        <w:rFonts w:ascii="Wingdings" w:hAnsi="Wingdings" w:hint="default"/>
      </w:rPr>
    </w:lvl>
    <w:lvl w:ilvl="3" w:tplc="C0342C82">
      <w:start w:val="1"/>
      <w:numFmt w:val="bullet"/>
      <w:lvlText w:val=""/>
      <w:lvlJc w:val="left"/>
      <w:pPr>
        <w:ind w:left="2880" w:hanging="360"/>
      </w:pPr>
      <w:rPr>
        <w:rFonts w:ascii="Symbol" w:hAnsi="Symbol" w:hint="default"/>
      </w:rPr>
    </w:lvl>
    <w:lvl w:ilvl="4" w:tplc="CD946254">
      <w:start w:val="1"/>
      <w:numFmt w:val="bullet"/>
      <w:lvlText w:val="o"/>
      <w:lvlJc w:val="left"/>
      <w:pPr>
        <w:ind w:left="3600" w:hanging="360"/>
      </w:pPr>
      <w:rPr>
        <w:rFonts w:ascii="Courier New" w:hAnsi="Courier New" w:hint="default"/>
      </w:rPr>
    </w:lvl>
    <w:lvl w:ilvl="5" w:tplc="CC682C8C">
      <w:start w:val="1"/>
      <w:numFmt w:val="bullet"/>
      <w:lvlText w:val=""/>
      <w:lvlJc w:val="left"/>
      <w:pPr>
        <w:ind w:left="4320" w:hanging="360"/>
      </w:pPr>
      <w:rPr>
        <w:rFonts w:ascii="Wingdings" w:hAnsi="Wingdings" w:hint="default"/>
      </w:rPr>
    </w:lvl>
    <w:lvl w:ilvl="6" w:tplc="4F8042CA">
      <w:start w:val="1"/>
      <w:numFmt w:val="bullet"/>
      <w:lvlText w:val=""/>
      <w:lvlJc w:val="left"/>
      <w:pPr>
        <w:ind w:left="5040" w:hanging="360"/>
      </w:pPr>
      <w:rPr>
        <w:rFonts w:ascii="Symbol" w:hAnsi="Symbol" w:hint="default"/>
      </w:rPr>
    </w:lvl>
    <w:lvl w:ilvl="7" w:tplc="CD0275F0">
      <w:start w:val="1"/>
      <w:numFmt w:val="bullet"/>
      <w:lvlText w:val="o"/>
      <w:lvlJc w:val="left"/>
      <w:pPr>
        <w:ind w:left="5760" w:hanging="360"/>
      </w:pPr>
      <w:rPr>
        <w:rFonts w:ascii="Courier New" w:hAnsi="Courier New" w:hint="default"/>
      </w:rPr>
    </w:lvl>
    <w:lvl w:ilvl="8" w:tplc="1ADE2EFE">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4"/>
  </w:num>
  <w:num w:numId="6">
    <w:abstractNumId w:val="0"/>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élène GERVAIS">
    <w15:presenceInfo w15:providerId="AD" w15:userId="S-1-5-21-2940177962-2135973231-4256927511-21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15782"/>
    <w:rsid w:val="00031B19"/>
    <w:rsid w:val="000902BF"/>
    <w:rsid w:val="000966A5"/>
    <w:rsid w:val="000A570C"/>
    <w:rsid w:val="000F355B"/>
    <w:rsid w:val="00101FDB"/>
    <w:rsid w:val="00141401"/>
    <w:rsid w:val="0016489B"/>
    <w:rsid w:val="00172682"/>
    <w:rsid w:val="0019057A"/>
    <w:rsid w:val="001B5930"/>
    <w:rsid w:val="001B7940"/>
    <w:rsid w:val="001C466A"/>
    <w:rsid w:val="00221F00"/>
    <w:rsid w:val="00230723"/>
    <w:rsid w:val="00243AF9"/>
    <w:rsid w:val="00251461"/>
    <w:rsid w:val="002650B0"/>
    <w:rsid w:val="002A1808"/>
    <w:rsid w:val="002A5B58"/>
    <w:rsid w:val="002F6F91"/>
    <w:rsid w:val="00332D5A"/>
    <w:rsid w:val="00345A1B"/>
    <w:rsid w:val="0035161D"/>
    <w:rsid w:val="003744CB"/>
    <w:rsid w:val="003966A6"/>
    <w:rsid w:val="00405EFC"/>
    <w:rsid w:val="00450F2B"/>
    <w:rsid w:val="00481787"/>
    <w:rsid w:val="00502539"/>
    <w:rsid w:val="00543505"/>
    <w:rsid w:val="00564CE8"/>
    <w:rsid w:val="00570823"/>
    <w:rsid w:val="005813F3"/>
    <w:rsid w:val="005F0153"/>
    <w:rsid w:val="00611755"/>
    <w:rsid w:val="00626CBC"/>
    <w:rsid w:val="00633A2F"/>
    <w:rsid w:val="00652F55"/>
    <w:rsid w:val="00666F1C"/>
    <w:rsid w:val="006A3BC2"/>
    <w:rsid w:val="006F3473"/>
    <w:rsid w:val="007214E0"/>
    <w:rsid w:val="0074359D"/>
    <w:rsid w:val="007A7B97"/>
    <w:rsid w:val="007B7D1F"/>
    <w:rsid w:val="007D246C"/>
    <w:rsid w:val="007D7354"/>
    <w:rsid w:val="007F401A"/>
    <w:rsid w:val="00806B91"/>
    <w:rsid w:val="0082148C"/>
    <w:rsid w:val="00827890"/>
    <w:rsid w:val="0083500C"/>
    <w:rsid w:val="00841AF9"/>
    <w:rsid w:val="0085748E"/>
    <w:rsid w:val="00860E13"/>
    <w:rsid w:val="0088450D"/>
    <w:rsid w:val="008B2A3D"/>
    <w:rsid w:val="008D0202"/>
    <w:rsid w:val="008D57C0"/>
    <w:rsid w:val="008F41F9"/>
    <w:rsid w:val="00917745"/>
    <w:rsid w:val="00934D6C"/>
    <w:rsid w:val="009520CB"/>
    <w:rsid w:val="00973B15"/>
    <w:rsid w:val="0097477D"/>
    <w:rsid w:val="009910D0"/>
    <w:rsid w:val="009C075F"/>
    <w:rsid w:val="00A0268A"/>
    <w:rsid w:val="00A03715"/>
    <w:rsid w:val="00A230D1"/>
    <w:rsid w:val="00A31344"/>
    <w:rsid w:val="00A34D8D"/>
    <w:rsid w:val="00A433C2"/>
    <w:rsid w:val="00A60403"/>
    <w:rsid w:val="00B63F78"/>
    <w:rsid w:val="00B92F77"/>
    <w:rsid w:val="00BE4175"/>
    <w:rsid w:val="00BE52CF"/>
    <w:rsid w:val="00BE6FC2"/>
    <w:rsid w:val="00C846AF"/>
    <w:rsid w:val="00CC0218"/>
    <w:rsid w:val="00D24957"/>
    <w:rsid w:val="00D86EE0"/>
    <w:rsid w:val="00D87FB9"/>
    <w:rsid w:val="00DA6B8B"/>
    <w:rsid w:val="00DC0102"/>
    <w:rsid w:val="00DC1068"/>
    <w:rsid w:val="00DD63B2"/>
    <w:rsid w:val="00E2478D"/>
    <w:rsid w:val="00ED7F39"/>
    <w:rsid w:val="00EE7747"/>
    <w:rsid w:val="00EF19C0"/>
    <w:rsid w:val="00F04DC2"/>
    <w:rsid w:val="00F275A3"/>
    <w:rsid w:val="00F55E12"/>
    <w:rsid w:val="55879FCA"/>
    <w:rsid w:val="7FED53F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A12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19057A"/>
    <w:pPr>
      <w:ind w:left="720"/>
      <w:contextualSpacing/>
    </w:pPr>
    <w:rPr>
      <w:szCs w:val="21"/>
    </w:rPr>
  </w:style>
  <w:style w:type="character" w:styleId="Marquedecommentaire">
    <w:name w:val="annotation reference"/>
    <w:basedOn w:val="Policepardfaut"/>
    <w:semiHidden/>
    <w:unhideWhenUsed/>
    <w:rsid w:val="00DD63B2"/>
    <w:rPr>
      <w:sz w:val="16"/>
      <w:szCs w:val="16"/>
    </w:rPr>
  </w:style>
  <w:style w:type="paragraph" w:styleId="Commentaire">
    <w:name w:val="annotation text"/>
    <w:basedOn w:val="Normal"/>
    <w:link w:val="CommentaireCar"/>
    <w:semiHidden/>
    <w:unhideWhenUsed/>
    <w:rsid w:val="00DD63B2"/>
    <w:rPr>
      <w:sz w:val="20"/>
      <w:szCs w:val="18"/>
    </w:rPr>
  </w:style>
  <w:style w:type="character" w:customStyle="1" w:styleId="CommentaireCar">
    <w:name w:val="Commentaire Car"/>
    <w:basedOn w:val="Policepardfaut"/>
    <w:link w:val="Commentaire"/>
    <w:semiHidden/>
    <w:rsid w:val="00DD63B2"/>
    <w:rPr>
      <w:rFonts w:eastAsia="SimSun" w:cs="Mangal"/>
      <w:kern w:val="1"/>
      <w:szCs w:val="18"/>
      <w:lang w:eastAsia="zh-CN" w:bidi="hi-IN"/>
    </w:rPr>
  </w:style>
  <w:style w:type="paragraph" w:styleId="Objetducommentaire">
    <w:name w:val="annotation subject"/>
    <w:basedOn w:val="Commentaire"/>
    <w:next w:val="Commentaire"/>
    <w:link w:val="ObjetducommentaireCar"/>
    <w:semiHidden/>
    <w:unhideWhenUsed/>
    <w:rsid w:val="00DD63B2"/>
    <w:rPr>
      <w:b/>
      <w:bCs/>
    </w:rPr>
  </w:style>
  <w:style w:type="character" w:customStyle="1" w:styleId="ObjetducommentaireCar">
    <w:name w:val="Objet du commentaire Car"/>
    <w:basedOn w:val="CommentaireCar"/>
    <w:link w:val="Objetducommentaire"/>
    <w:semiHidden/>
    <w:rsid w:val="00DD63B2"/>
    <w:rPr>
      <w:rFonts w:eastAsia="SimSun" w:cs="Mangal"/>
      <w:b/>
      <w:bCs/>
      <w:kern w:val="1"/>
      <w:szCs w:val="18"/>
      <w:lang w:eastAsia="zh-CN" w:bidi="hi-IN"/>
    </w:rPr>
  </w:style>
  <w:style w:type="paragraph" w:styleId="Textedebulles">
    <w:name w:val="Balloon Text"/>
    <w:basedOn w:val="Normal"/>
    <w:link w:val="TextedebullesCar"/>
    <w:semiHidden/>
    <w:unhideWhenUsed/>
    <w:rsid w:val="00DD63B2"/>
    <w:rPr>
      <w:rFonts w:ascii="Segoe UI" w:hAnsi="Segoe UI"/>
      <w:sz w:val="18"/>
      <w:szCs w:val="16"/>
    </w:rPr>
  </w:style>
  <w:style w:type="character" w:customStyle="1" w:styleId="TextedebullesCar">
    <w:name w:val="Texte de bulles Car"/>
    <w:basedOn w:val="Policepardfaut"/>
    <w:link w:val="Textedebulles"/>
    <w:semiHidden/>
    <w:rsid w:val="00DD63B2"/>
    <w:rPr>
      <w:rFonts w:ascii="Segoe UI" w:eastAsia="SimSun" w:hAnsi="Segoe UI" w:cs="Mangal"/>
      <w:kern w:val="1"/>
      <w:sz w:val="18"/>
      <w:szCs w:val="16"/>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2"/>
      </w:numPr>
      <w:outlineLvl w:val="0"/>
    </w:pPr>
    <w:rPr>
      <w:b/>
      <w:bCs/>
    </w:rPr>
  </w:style>
  <w:style w:type="paragraph" w:styleId="Titre2">
    <w:name w:val="heading 2"/>
    <w:basedOn w:val="Heading"/>
    <w:next w:val="Textbody"/>
    <w:qFormat/>
    <w:pPr>
      <w:numPr>
        <w:ilvl w:val="1"/>
        <w:numId w:val="2"/>
      </w:numPr>
      <w:outlineLvl w:val="1"/>
    </w:pPr>
    <w:rPr>
      <w:b/>
      <w:bCs/>
      <w:i/>
      <w:iCs/>
    </w:rPr>
  </w:style>
  <w:style w:type="paragraph" w:styleId="Titre3">
    <w:name w:val="heading 3"/>
    <w:basedOn w:val="Heading"/>
    <w:next w:val="Textbody"/>
    <w:qFormat/>
    <w:pPr>
      <w:numPr>
        <w:ilvl w:val="2"/>
        <w:numId w:val="2"/>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19057A"/>
    <w:pPr>
      <w:ind w:left="720"/>
      <w:contextualSpacing/>
    </w:pPr>
    <w:rPr>
      <w:szCs w:val="21"/>
    </w:rPr>
  </w:style>
  <w:style w:type="character" w:styleId="Marquedecommentaire">
    <w:name w:val="annotation reference"/>
    <w:basedOn w:val="Policepardfaut"/>
    <w:semiHidden/>
    <w:unhideWhenUsed/>
    <w:rsid w:val="00DD63B2"/>
    <w:rPr>
      <w:sz w:val="16"/>
      <w:szCs w:val="16"/>
    </w:rPr>
  </w:style>
  <w:style w:type="paragraph" w:styleId="Commentaire">
    <w:name w:val="annotation text"/>
    <w:basedOn w:val="Normal"/>
    <w:link w:val="CommentaireCar"/>
    <w:semiHidden/>
    <w:unhideWhenUsed/>
    <w:rsid w:val="00DD63B2"/>
    <w:rPr>
      <w:sz w:val="20"/>
      <w:szCs w:val="18"/>
    </w:rPr>
  </w:style>
  <w:style w:type="character" w:customStyle="1" w:styleId="CommentaireCar">
    <w:name w:val="Commentaire Car"/>
    <w:basedOn w:val="Policepardfaut"/>
    <w:link w:val="Commentaire"/>
    <w:semiHidden/>
    <w:rsid w:val="00DD63B2"/>
    <w:rPr>
      <w:rFonts w:eastAsia="SimSun" w:cs="Mangal"/>
      <w:kern w:val="1"/>
      <w:szCs w:val="18"/>
      <w:lang w:eastAsia="zh-CN" w:bidi="hi-IN"/>
    </w:rPr>
  </w:style>
  <w:style w:type="paragraph" w:styleId="Objetducommentaire">
    <w:name w:val="annotation subject"/>
    <w:basedOn w:val="Commentaire"/>
    <w:next w:val="Commentaire"/>
    <w:link w:val="ObjetducommentaireCar"/>
    <w:semiHidden/>
    <w:unhideWhenUsed/>
    <w:rsid w:val="00DD63B2"/>
    <w:rPr>
      <w:b/>
      <w:bCs/>
    </w:rPr>
  </w:style>
  <w:style w:type="character" w:customStyle="1" w:styleId="ObjetducommentaireCar">
    <w:name w:val="Objet du commentaire Car"/>
    <w:basedOn w:val="CommentaireCar"/>
    <w:link w:val="Objetducommentaire"/>
    <w:semiHidden/>
    <w:rsid w:val="00DD63B2"/>
    <w:rPr>
      <w:rFonts w:eastAsia="SimSun" w:cs="Mangal"/>
      <w:b/>
      <w:bCs/>
      <w:kern w:val="1"/>
      <w:szCs w:val="18"/>
      <w:lang w:eastAsia="zh-CN" w:bidi="hi-IN"/>
    </w:rPr>
  </w:style>
  <w:style w:type="paragraph" w:styleId="Textedebulles">
    <w:name w:val="Balloon Text"/>
    <w:basedOn w:val="Normal"/>
    <w:link w:val="TextedebullesCar"/>
    <w:semiHidden/>
    <w:unhideWhenUsed/>
    <w:rsid w:val="00DD63B2"/>
    <w:rPr>
      <w:rFonts w:ascii="Segoe UI" w:hAnsi="Segoe UI"/>
      <w:sz w:val="18"/>
      <w:szCs w:val="16"/>
    </w:rPr>
  </w:style>
  <w:style w:type="character" w:customStyle="1" w:styleId="TextedebullesCar">
    <w:name w:val="Texte de bulles Car"/>
    <w:basedOn w:val="Policepardfaut"/>
    <w:link w:val="Textedebulles"/>
    <w:semiHidden/>
    <w:rsid w:val="00DD63B2"/>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196625158">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A522A-C577-428A-8619-EE7DA51D8EA0}">
  <ds:schemaRefs>
    <ds:schemaRef ds:uri="http://www.w3.org/XML/1998/namespac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c9f4b70c-db7f-4fd0-9b1d-ebaa300a76cc"/>
  </ds:schemaRefs>
</ds:datastoreItem>
</file>

<file path=customXml/itemProps2.xml><?xml version="1.0" encoding="utf-8"?>
<ds:datastoreItem xmlns:ds="http://schemas.openxmlformats.org/officeDocument/2006/customXml" ds:itemID="{69665658-438A-4851-A739-08E801BE75C6}">
  <ds:schemaRefs>
    <ds:schemaRef ds:uri="http://schemas.microsoft.com/sharepoint/v3/contenttype/forms"/>
  </ds:schemaRefs>
</ds:datastoreItem>
</file>

<file path=customXml/itemProps3.xml><?xml version="1.0" encoding="utf-8"?>
<ds:datastoreItem xmlns:ds="http://schemas.openxmlformats.org/officeDocument/2006/customXml" ds:itemID="{F015446A-B431-49EA-B7E7-3730A49E9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716</Words>
  <Characters>3944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3</cp:revision>
  <cp:lastPrinted>2015-05-27T07:28:00Z</cp:lastPrinted>
  <dcterms:created xsi:type="dcterms:W3CDTF">2015-07-10T14:00:00Z</dcterms:created>
  <dcterms:modified xsi:type="dcterms:W3CDTF">2015-07-10T14:02:00Z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