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FE5" w14:textId="77777777" w:rsidR="009B541F" w:rsidRDefault="00E437DD">
      <w:pPr>
        <w:pStyle w:val="WW-Standard"/>
        <w:spacing w:after="57"/>
        <w:jc w:val="center"/>
      </w:pPr>
      <w:r>
        <w:rPr>
          <w:rFonts w:ascii="Verdana" w:hAnsi="Verdana" w:cs="Verdana"/>
          <w:b/>
          <w:bCs/>
          <w:sz w:val="28"/>
          <w:szCs w:val="28"/>
        </w:rPr>
        <w:t>FICHE 2.1.4</w:t>
      </w:r>
    </w:p>
    <w:p w14:paraId="335C8DEE" w14:textId="5E6CA26B" w:rsidR="009B541F" w:rsidRDefault="5E6CA26B" w:rsidP="5E6CA26B">
      <w:pPr>
        <w:pStyle w:val="WW-Standard"/>
        <w:shd w:val="clear" w:color="auto" w:fill="1F497D" w:themeFill="text2"/>
        <w:spacing w:after="57"/>
        <w:jc w:val="center"/>
      </w:pPr>
      <w:r w:rsidRPr="5E6CA26B">
        <w:rPr>
          <w:rFonts w:ascii="Verdana" w:eastAsia="Verdana" w:hAnsi="Verdana" w:cs="Verdana"/>
          <w:b/>
          <w:bCs/>
          <w:color w:val="FFFFFF" w:themeColor="background1"/>
          <w:sz w:val="28"/>
          <w:szCs w:val="28"/>
        </w:rPr>
        <w:t xml:space="preserve">FAIRE DES QUARTIERS PRIORITAIRES </w:t>
      </w:r>
      <w:r w:rsidR="00E437DD">
        <w:br/>
      </w:r>
      <w:r w:rsidRPr="5E6CA26B">
        <w:rPr>
          <w:rFonts w:ascii="Verdana" w:eastAsia="Verdana" w:hAnsi="Verdana" w:cs="Verdana"/>
          <w:b/>
          <w:bCs/>
          <w:color w:val="FFFFFF" w:themeColor="background1"/>
          <w:sz w:val="28"/>
          <w:szCs w:val="28"/>
        </w:rPr>
        <w:t>DES « DEMONSTRATEURS » DE LA VILLE DURABLE</w:t>
      </w:r>
    </w:p>
    <w:p w14:paraId="036931DF" w14:textId="77777777" w:rsidR="009B541F" w:rsidRDefault="009B541F">
      <w:pPr>
        <w:pStyle w:val="WW-Standard"/>
        <w:spacing w:after="57"/>
        <w:jc w:val="center"/>
      </w:pPr>
    </w:p>
    <w:tbl>
      <w:tblPr>
        <w:tblW w:w="0" w:type="auto"/>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tblBorders>
        <w:tblCellMar>
          <w:left w:w="10" w:type="dxa"/>
          <w:right w:w="10" w:type="dxa"/>
        </w:tblCellMar>
        <w:tblLook w:val="0000" w:firstRow="0" w:lastRow="0" w:firstColumn="0" w:lastColumn="0" w:noHBand="0" w:noVBand="0"/>
      </w:tblPr>
      <w:tblGrid>
        <w:gridCol w:w="2595"/>
        <w:gridCol w:w="8404"/>
      </w:tblGrid>
      <w:tr w:rsidR="009B541F" w14:paraId="1236F15C" w14:textId="77777777" w:rsidTr="001D3158">
        <w:trPr>
          <w:trHeight w:val="754"/>
        </w:trPr>
        <w:tc>
          <w:tcPr>
            <w:tcW w:w="25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13" w:type="dxa"/>
              <w:bottom w:w="0" w:type="dxa"/>
              <w:right w:w="108" w:type="dxa"/>
            </w:tcMar>
            <w:vAlign w:val="center"/>
          </w:tcPr>
          <w:p w14:paraId="7DB106E2" w14:textId="77777777" w:rsidR="009B541F" w:rsidRDefault="00E437DD">
            <w:pPr>
              <w:pStyle w:val="Contenudetableau"/>
            </w:pPr>
            <w:r>
              <w:rPr>
                <w:rFonts w:ascii="Verdana" w:hAnsi="Verdana" w:cs="Verdana"/>
                <w:b/>
                <w:bCs/>
                <w:color w:val="1F497D"/>
                <w:sz w:val="20"/>
                <w:szCs w:val="20"/>
              </w:rPr>
              <w:t>Pilier: 2</w:t>
            </w:r>
          </w:p>
          <w:p w14:paraId="4F41168E" w14:textId="77777777" w:rsidR="009B541F" w:rsidRDefault="00E437DD">
            <w:pPr>
              <w:pStyle w:val="Contenudetableau"/>
            </w:pPr>
            <w:r>
              <w:rPr>
                <w:rFonts w:ascii="Verdana" w:hAnsi="Verdana" w:cs="Verdana"/>
                <w:b/>
                <w:bCs/>
                <w:color w:val="1F497D"/>
                <w:sz w:val="20"/>
                <w:szCs w:val="20"/>
              </w:rPr>
              <w:t>Axe 1</w:t>
            </w:r>
          </w:p>
        </w:tc>
        <w:tc>
          <w:tcPr>
            <w:tcW w:w="84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13" w:type="dxa"/>
              <w:bottom w:w="0" w:type="dxa"/>
              <w:right w:w="108" w:type="dxa"/>
            </w:tcMar>
            <w:vAlign w:val="center"/>
          </w:tcPr>
          <w:p w14:paraId="13065F42" w14:textId="77777777" w:rsidR="009B541F" w:rsidRDefault="00E437DD">
            <w:pPr>
              <w:pStyle w:val="Contenudetableau"/>
            </w:pPr>
            <w:r>
              <w:rPr>
                <w:rFonts w:ascii="Verdana" w:hAnsi="Verdana" w:cs="Verdana"/>
                <w:b/>
                <w:bCs/>
                <w:color w:val="1F497D"/>
                <w:sz w:val="20"/>
                <w:szCs w:val="20"/>
              </w:rPr>
              <w:t>Enjeu : Renouveler la ville et diversifier ses fonctions</w:t>
            </w:r>
          </w:p>
        </w:tc>
      </w:tr>
    </w:tbl>
    <w:p w14:paraId="2944F738" w14:textId="77777777" w:rsidR="009B541F" w:rsidRDefault="009B541F">
      <w:pPr>
        <w:pStyle w:val="WW-Standard"/>
        <w:spacing w:after="57"/>
        <w:jc w:val="center"/>
      </w:pPr>
    </w:p>
    <w:tbl>
      <w:tblPr>
        <w:tblW w:w="0" w:type="auto"/>
        <w:tblInd w:w="-8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tblBorders>
        <w:tblLayout w:type="fixed"/>
        <w:tblCellMar>
          <w:left w:w="10" w:type="dxa"/>
          <w:right w:w="10" w:type="dxa"/>
        </w:tblCellMar>
        <w:tblLook w:val="0000" w:firstRow="0" w:lastRow="0" w:firstColumn="0" w:lastColumn="0" w:noHBand="0" w:noVBand="0"/>
      </w:tblPr>
      <w:tblGrid>
        <w:gridCol w:w="2511"/>
        <w:gridCol w:w="8363"/>
      </w:tblGrid>
      <w:tr w:rsidR="009B541F" w14:paraId="1BF37B6A" w14:textId="77777777" w:rsidTr="001D3158">
        <w:trPr>
          <w:trHeight w:val="5767"/>
        </w:trPr>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4A79BB50" w14:textId="77777777" w:rsidR="009B541F" w:rsidRDefault="00E437DD">
            <w:pPr>
              <w:pStyle w:val="Contenudetableau"/>
              <w:spacing w:before="120" w:after="120"/>
              <w:ind w:left="71" w:right="-10"/>
            </w:pPr>
            <w:r>
              <w:rPr>
                <w:rFonts w:ascii="Verdana" w:hAnsi="Verdana" w:cs="Verdana"/>
                <w:b/>
                <w:bCs/>
                <w:color w:val="1F497D"/>
                <w:sz w:val="20"/>
                <w:szCs w:val="20"/>
              </w:rPr>
              <w:t>Contexte (constats/ besoins)</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3221EBF0" w14:textId="1890FEC0" w:rsidR="009B541F" w:rsidRDefault="5E6CA26B" w:rsidP="5E6CA26B">
            <w:pPr>
              <w:pStyle w:val="Contenudetableau"/>
              <w:numPr>
                <w:ilvl w:val="0"/>
                <w:numId w:val="2"/>
              </w:numPr>
              <w:spacing w:before="120" w:after="120"/>
              <w:ind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Les interventions réalisées au titre du programme de rénovation urbaine ou des programmes de travaux des collectivités et des bailleurs sociaux ont permis de faire évoluer les quartiers prioritaires pour mieux répondre aux finalités du développement durable.</w:t>
            </w:r>
          </w:p>
          <w:p w14:paraId="0FC1AA28" w14:textId="6D6D2EB7" w:rsidR="009B541F" w:rsidRDefault="5E6CA26B" w:rsidP="5E6CA26B">
            <w:pPr>
              <w:pStyle w:val="Contenudetableau"/>
              <w:numPr>
                <w:ilvl w:val="0"/>
                <w:numId w:val="2"/>
              </w:numPr>
              <w:spacing w:before="120" w:after="120"/>
              <w:ind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L’amélioration de la performance environnementale et la contribution de la ville existante à la transition écologique constitue deux objectifs centraux des documents locaux de planification ou de programmation</w:t>
            </w:r>
          </w:p>
          <w:p w14:paraId="63567014" w14:textId="1947677A" w:rsidR="009B541F" w:rsidRDefault="5E6CA26B" w:rsidP="5E6CA26B">
            <w:pPr>
              <w:pStyle w:val="Contenudetableau"/>
              <w:numPr>
                <w:ilvl w:val="0"/>
                <w:numId w:val="2"/>
              </w:numPr>
              <w:spacing w:before="120" w:after="120"/>
              <w:ind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Vu sous l’angle du développement durable, les quartiers de la politique de la ville présentent des atouts (localisation et densité) mais aussi des contraintes (phénomène d’îlots de chaleur, risques d’inondation, nuisances liés à la proximité d’infrastructures ferroviaires et routières) qui en font des espaces privilégiés d’expérimentation pour « refaire la ville sur elle-même » et promouvoir des espaces urbains durables, </w:t>
            </w:r>
          </w:p>
          <w:p w14:paraId="3CBE8B4A" w14:textId="77777777" w:rsidR="009B541F" w:rsidRDefault="00E437DD" w:rsidP="5E6CA26B">
            <w:pPr>
              <w:pStyle w:val="Contenudetableau"/>
              <w:numPr>
                <w:ilvl w:val="0"/>
                <w:numId w:val="2"/>
              </w:numPr>
              <w:spacing w:before="120" w:after="120"/>
              <w:ind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Ceci suppose de traiter de façon globale l’ensemble des thématiques sectorielles qui composent le développement urbain durable : climat et énergie, mobilité, bruit, qualité du cadre de vie et de l’habitat, mixités sociale et fonctionnelle, accessibilité, vulnérabilités, participation, déchets, eau et nature en ville, innovation et nouvelles technologies, </w:t>
            </w:r>
            <w:proofErr w:type="spellStart"/>
            <w:r w:rsidRPr="5E6CA26B">
              <w:rPr>
                <w:rFonts w:ascii="Verdana" w:eastAsia="Verdana" w:hAnsi="Verdana" w:cs="Verdana"/>
                <w:color w:val="1F497D" w:themeColor="text2"/>
                <w:sz w:val="20"/>
                <w:szCs w:val="20"/>
              </w:rPr>
              <w:t>etc</w:t>
            </w:r>
            <w:proofErr w:type="spellEnd"/>
          </w:p>
        </w:tc>
      </w:tr>
      <w:tr w:rsidR="009B541F" w14:paraId="37A064F1" w14:textId="77777777" w:rsidTr="001D3158">
        <w:trPr>
          <w:trHeight w:val="142"/>
        </w:trPr>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52B2320E" w14:textId="3A368C3D" w:rsidR="009B541F" w:rsidRDefault="5E6CA26B">
            <w:pPr>
              <w:pStyle w:val="Contenudetableau"/>
              <w:spacing w:before="120" w:after="120"/>
              <w:ind w:left="71" w:right="-10"/>
            </w:pPr>
            <w:r w:rsidRPr="5E6CA26B">
              <w:rPr>
                <w:rFonts w:ascii="Verdana" w:eastAsia="Verdana" w:hAnsi="Verdana" w:cs="Verdana"/>
                <w:b/>
                <w:bCs/>
                <w:color w:val="1F497D" w:themeColor="text2"/>
                <w:sz w:val="20"/>
                <w:szCs w:val="20"/>
              </w:rPr>
              <w:t>Objectifs et dynamiques</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476E5F13" w14:textId="4D119FCD" w:rsidR="009B541F" w:rsidRDefault="5E6CA26B" w:rsidP="5E6CA26B">
            <w:pPr>
              <w:pStyle w:val="Contenudetableau"/>
              <w:numPr>
                <w:ilvl w:val="0"/>
                <w:numId w:val="4"/>
              </w:numPr>
              <w:spacing w:before="120" w:after="120"/>
              <w:ind w:right="-10"/>
              <w:rPr>
                <w:rFonts w:asciiTheme="minorHAnsi" w:eastAsiaTheme="minorEastAsia" w:hAnsiTheme="minorHAnsi" w:cstheme="minorBidi"/>
                <w:color w:val="1F497D" w:themeColor="text2"/>
                <w:sz w:val="20"/>
                <w:szCs w:val="20"/>
              </w:rPr>
            </w:pPr>
            <w:r w:rsidRPr="5E6CA26B">
              <w:rPr>
                <w:rFonts w:ascii="Verdana,Arial" w:eastAsia="Verdana,Arial" w:hAnsi="Verdana,Arial" w:cs="Verdana,Arial"/>
                <w:i/>
                <w:iCs/>
                <w:color w:val="000000" w:themeColor="text1"/>
                <w:sz w:val="20"/>
                <w:szCs w:val="20"/>
              </w:rPr>
              <w:t>I</w:t>
            </w:r>
            <w:r w:rsidRPr="5E6CA26B">
              <w:rPr>
                <w:rFonts w:ascii="Verdana" w:eastAsia="Verdana" w:hAnsi="Verdana" w:cs="Verdana"/>
                <w:color w:val="1F497D" w:themeColor="text2"/>
                <w:sz w:val="20"/>
                <w:szCs w:val="20"/>
              </w:rPr>
              <w:t>ntégrer  cet enjeu dans le  protocole de préfiguration du NPNRU qui constitue un cadre de réflexion à mobiliser à court terme pour préciser la stratégie locale en matière de ville durable et la décliner à l’échelle des quartiers du PNRU2;</w:t>
            </w:r>
          </w:p>
          <w:p w14:paraId="24913201" w14:textId="60F71F84" w:rsidR="009B541F" w:rsidRDefault="5E6CA26B" w:rsidP="5E6CA26B">
            <w:pPr>
              <w:pStyle w:val="Contenudetableau"/>
              <w:numPr>
                <w:ilvl w:val="0"/>
                <w:numId w:val="4"/>
              </w:numPr>
              <w:spacing w:before="120" w:after="120"/>
              <w:ind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A l’échelle de l’ensemble des quartiers de la géographie prioritaire, articuler ces réflexions avec les plans locaux d’urbanisme des villes et les documents de planification, ou de programmation supra-communaux en vigueur ou en cours d’élaboration, notamment le SCOT, le PDU, le PLH, le PPA, le PGRI, les plans de mise en accessibilité de la voirie et des aménagements des espaces publics, agendas d’accessibilité, plan climat et mettre en place les mesures prévues;</w:t>
            </w:r>
          </w:p>
          <w:p w14:paraId="66846678" w14:textId="3E30FF41" w:rsidR="009B541F" w:rsidRDefault="5E6CA26B" w:rsidP="5E6CA26B">
            <w:pPr>
              <w:pStyle w:val="Contenudetableau"/>
              <w:numPr>
                <w:ilvl w:val="0"/>
                <w:numId w:val="4"/>
              </w:numPr>
              <w:spacing w:before="120" w:after="120"/>
              <w:ind w:right="-10"/>
            </w:pPr>
            <w:r w:rsidRPr="5E6CA26B">
              <w:rPr>
                <w:rFonts w:ascii="Verdana" w:eastAsia="Verdana" w:hAnsi="Verdana" w:cs="Verdana"/>
                <w:color w:val="1F497D" w:themeColor="text2"/>
                <w:sz w:val="20"/>
                <w:szCs w:val="20"/>
              </w:rPr>
              <w:t>Définir et mettre en œuvre une charte de la qualité urbaine et environnementale dans les projets urbains des quartiers prioritaires</w:t>
            </w:r>
            <w:r w:rsidRPr="5E6CA26B">
              <w:rPr>
                <w:rFonts w:ascii="Verdana,Arial" w:eastAsia="Verdana,Arial" w:hAnsi="Verdana,Arial" w:cs="Verdana,Arial"/>
                <w:i/>
                <w:iCs/>
                <w:color w:val="000000" w:themeColor="text1"/>
                <w:sz w:val="20"/>
                <w:szCs w:val="20"/>
              </w:rPr>
              <w:t>.</w:t>
            </w:r>
          </w:p>
        </w:tc>
      </w:tr>
      <w:tr w:rsidR="009B541F" w14:paraId="7F3C5A2E" w14:textId="77777777" w:rsidTr="001D3158">
        <w:trPr>
          <w:trHeight w:val="170"/>
        </w:trPr>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5A7925E0" w14:textId="5BE24EEB" w:rsidR="009B541F" w:rsidRDefault="5E6CA26B" w:rsidP="5E6CA26B">
            <w:pPr>
              <w:pStyle w:val="Contenudetableau"/>
              <w:spacing w:before="120" w:after="120"/>
              <w:ind w:right="-10"/>
            </w:pPr>
            <w:r w:rsidRPr="5E6CA26B">
              <w:rPr>
                <w:rFonts w:ascii="Verdana" w:eastAsia="Verdana" w:hAnsi="Verdana" w:cs="Verdana"/>
                <w:b/>
                <w:bCs/>
                <w:color w:val="1F497D" w:themeColor="text2"/>
                <w:sz w:val="20"/>
                <w:szCs w:val="20"/>
              </w:rPr>
              <w:t>Réalisations attendues</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4D67E898" w14:textId="2EA92DEE"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Arial" w:eastAsia="Verdana,Arial" w:hAnsi="Verdana,Arial" w:cs="Verdana,Arial"/>
                <w:i/>
                <w:iCs/>
                <w:color w:val="000000" w:themeColor="text1"/>
                <w:sz w:val="20"/>
                <w:szCs w:val="20"/>
              </w:rPr>
              <w:t xml:space="preserve"> </w:t>
            </w:r>
            <w:r w:rsidRPr="5E6CA26B">
              <w:rPr>
                <w:rFonts w:ascii="Verdana" w:eastAsia="Verdana" w:hAnsi="Verdana" w:cs="Verdana"/>
                <w:color w:val="1F497D" w:themeColor="text2"/>
                <w:sz w:val="20"/>
                <w:szCs w:val="20"/>
              </w:rPr>
              <w:t>Favoriser le renouvellement et la diversification des zones d’habitat monofonctionnelles</w:t>
            </w:r>
          </w:p>
          <w:p w14:paraId="540B0FE4" w14:textId="62CDCB44"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Soutenir le rééquilibrage de la production et de l’occupation du logement social à l’échelle de l’EPCI</w:t>
            </w:r>
          </w:p>
          <w:p w14:paraId="1970CF8C" w14:textId="6016A25D"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Offrir un maillage d’espaces de nature dans le tissu urbain, considérer les espaces publics comme une composante du projet urbain permettant l’expression de la nature en ville</w:t>
            </w:r>
          </w:p>
          <w:p w14:paraId="300CA511" w14:textId="77777777" w:rsidR="009B541F" w:rsidRDefault="00E437DD"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lastRenderedPageBreak/>
              <w:t>Limiter l’imperméabilisation des sols en milieu urbanisé, développer les murs, terrasses et toitures végétalisées, réintroduction de l’eau dans l’espace urbain pour réduire les phénomènes d’îlots de chaleur</w:t>
            </w:r>
          </w:p>
          <w:p w14:paraId="69C64FED" w14:textId="6651D5D3"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Optimiser l’éclairage public et lutter contre  la pollution lumineuse nocturne</w:t>
            </w:r>
          </w:p>
          <w:p w14:paraId="33143C40" w14:textId="1AC6A2F1"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Étudier systématiquement des possibilités de recours aux énergies renouvelables dans la construction et la rénovation sous maîtrise d’ouvrage publique</w:t>
            </w:r>
          </w:p>
          <w:p w14:paraId="73FBFAA0" w14:textId="79231100"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Développer les énergies renouvelables et encourager la mutation vers les énergies renouvelables des réseaux de chaleur</w:t>
            </w:r>
          </w:p>
          <w:p w14:paraId="377A5FF9" w14:textId="7BAD0340"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 Réhabiliter le parc de logements existants (parc public et parc privé, dont copropriétés) en vue notamment d’une adaptation au vieillissement de la population et de l’amélioration de la performance énergétique</w:t>
            </w:r>
          </w:p>
          <w:p w14:paraId="615BDE89" w14:textId="1DB103B7"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Accompagner les habitants dans la diminution de leurs consommations d’eau et  d’énergies</w:t>
            </w:r>
          </w:p>
          <w:p w14:paraId="61E17046" w14:textId="429D5D55"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Améliorer la desserte des quartiers prioritaires par les transports collectifs (fréquence, temps de parcours, accessibilité)</w:t>
            </w:r>
          </w:p>
          <w:p w14:paraId="3C6F7D54" w14:textId="21E192C7"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Encourager et garantir les pratiques actives (vélo, marche…) dans les quartiers prioritaires </w:t>
            </w:r>
          </w:p>
          <w:p w14:paraId="37C6C446" w14:textId="6E837516"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 Développer les outils au service de la mobilité des habitants des quartiers prioritaires</w:t>
            </w:r>
          </w:p>
          <w:p w14:paraId="32DF0AA1" w14:textId="116C8E2D"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 Rendre accessibles les espaces publics, voiries et établissements recevant du public avec une programmation ambitieuse</w:t>
            </w:r>
          </w:p>
          <w:p w14:paraId="0026E8A3" w14:textId="0F25AF42"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Pour les quartiers situés en zone inondable, garantir la réduction de la vulnérabilité  au risque inondation dans les opérations de réhabilitation, rénovation et renouvellement urbain, par réduction du nombre de logements situés entièrement sous les PHEC, par la facilitation des écoulements de l’eau, par la réduction de l’imperméabilisation du sol, par la réduction de la vulnérabilité des réseaux</w:t>
            </w:r>
          </w:p>
          <w:p w14:paraId="70F60D9F" w14:textId="77777777" w:rsidR="009B541F" w:rsidRDefault="00E437DD"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 xml:space="preserve">Réduire au maximum l’impact du risque inondation lors de toute intervention (bâtiments, réseaux) réalisée dans le tissu </w:t>
            </w:r>
            <w:proofErr w:type="gramStart"/>
            <w:r w:rsidRPr="5E6CA26B">
              <w:rPr>
                <w:rFonts w:ascii="Verdana" w:eastAsia="Verdana" w:hAnsi="Verdana" w:cs="Verdana"/>
                <w:color w:val="1F497D" w:themeColor="text2"/>
                <w:sz w:val="20"/>
                <w:szCs w:val="20"/>
              </w:rPr>
              <w:t>inondable .</w:t>
            </w:r>
            <w:proofErr w:type="gramEnd"/>
          </w:p>
          <w:p w14:paraId="7F524794" w14:textId="430D2CE6"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Étendre la pratique des diagnostics de vulnérabilité à toutes les fonctions urbaines, notamment la fonction résidentielle</w:t>
            </w:r>
          </w:p>
          <w:p w14:paraId="61C1D2F5" w14:textId="4188D3A5" w:rsidR="009B541F" w:rsidRDefault="5E6CA26B" w:rsidP="5E6CA26B">
            <w:pPr>
              <w:pStyle w:val="Contenudetableau"/>
              <w:numPr>
                <w:ilvl w:val="1"/>
                <w:numId w:val="1"/>
              </w:numPr>
              <w:spacing w:before="120" w:after="120"/>
              <w:ind w:left="720" w:right="-10"/>
              <w:rPr>
                <w:rFonts w:asciiTheme="minorHAnsi" w:eastAsiaTheme="minorEastAsia" w:hAnsiTheme="minorHAnsi" w:cstheme="minorBidi"/>
                <w:color w:val="1F497D" w:themeColor="text2"/>
                <w:sz w:val="20"/>
                <w:szCs w:val="20"/>
              </w:rPr>
            </w:pPr>
            <w:r w:rsidRPr="5E6CA26B">
              <w:rPr>
                <w:rFonts w:ascii="Verdana" w:eastAsia="Verdana" w:hAnsi="Verdana" w:cs="Verdana"/>
                <w:color w:val="1F497D" w:themeColor="text2"/>
                <w:sz w:val="20"/>
                <w:szCs w:val="20"/>
              </w:rPr>
              <w:t>Améliorer la connaissance et la conscience du risque inondation des habitants des quartiers soumis au risque inondation, particulièrement vulnérables</w:t>
            </w:r>
          </w:p>
        </w:tc>
      </w:tr>
      <w:tr w:rsidR="009B541F" w14:paraId="7D37D702" w14:textId="77777777" w:rsidTr="001D3158">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7F492BB6" w14:textId="4B3DEB09" w:rsidR="009B541F" w:rsidRDefault="00E437DD" w:rsidP="00CA50FC">
            <w:pPr>
              <w:pStyle w:val="Contenudetableau"/>
              <w:spacing w:before="120" w:after="120"/>
              <w:ind w:right="-10"/>
            </w:pPr>
            <w:r>
              <w:rPr>
                <w:rFonts w:ascii="Verdana" w:hAnsi="Verdana" w:cs="Verdana"/>
                <w:b/>
                <w:bCs/>
                <w:color w:val="1F497D"/>
                <w:sz w:val="20"/>
                <w:szCs w:val="20"/>
              </w:rPr>
              <w:lastRenderedPageBreak/>
              <w:t>Echelle (agglomération/ ville/ quartier)</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34A6361D" w14:textId="77777777" w:rsidR="009B541F" w:rsidRDefault="00E437DD">
            <w:pPr>
              <w:pStyle w:val="Contenudetableau"/>
              <w:spacing w:before="120" w:after="120"/>
            </w:pPr>
            <w:r>
              <w:rPr>
                <w:rFonts w:ascii="Verdana" w:hAnsi="Verdana" w:cs="Arial"/>
                <w:color w:val="1F497D"/>
                <w:sz w:val="20"/>
                <w:szCs w:val="20"/>
              </w:rPr>
              <w:t>Agglomération, villes et quartiers</w:t>
            </w:r>
          </w:p>
        </w:tc>
      </w:tr>
      <w:tr w:rsidR="009B541F" w14:paraId="19296758" w14:textId="77777777" w:rsidTr="001D3158">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040F8784" w14:textId="77777777" w:rsidR="009B541F" w:rsidRDefault="00E437DD">
            <w:pPr>
              <w:pStyle w:val="Contenudetableau"/>
              <w:spacing w:before="120" w:after="120"/>
              <w:ind w:left="71" w:right="-10"/>
            </w:pPr>
            <w:r>
              <w:rPr>
                <w:rFonts w:ascii="Verdana" w:hAnsi="Verdana" w:cs="Verdana"/>
                <w:b/>
                <w:bCs/>
                <w:color w:val="1F497D"/>
                <w:sz w:val="20"/>
                <w:szCs w:val="20"/>
              </w:rPr>
              <w:t xml:space="preserve">Animateurs </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66E75D25" w14:textId="063B1343" w:rsidR="009B541F" w:rsidRDefault="00E437DD" w:rsidP="001D3158">
            <w:pPr>
              <w:pStyle w:val="Contenudetableau"/>
              <w:spacing w:before="120" w:after="120"/>
            </w:pPr>
            <w:r w:rsidRPr="001D3158">
              <w:rPr>
                <w:rFonts w:ascii="Verdana" w:hAnsi="Verdana" w:cs="Arial"/>
                <w:color w:val="1F497D"/>
                <w:sz w:val="20"/>
                <w:szCs w:val="20"/>
              </w:rPr>
              <w:t>la direction départemental</w:t>
            </w:r>
            <w:r w:rsidR="00591724">
              <w:rPr>
                <w:rFonts w:ascii="Verdana" w:hAnsi="Verdana" w:cs="Arial"/>
                <w:color w:val="1F497D"/>
                <w:sz w:val="20"/>
                <w:szCs w:val="20"/>
              </w:rPr>
              <w:t>e</w:t>
            </w:r>
            <w:r w:rsidRPr="001D3158">
              <w:rPr>
                <w:rFonts w:ascii="Verdana" w:hAnsi="Verdana" w:cs="Arial"/>
                <w:color w:val="1F497D"/>
                <w:sz w:val="20"/>
                <w:szCs w:val="20"/>
              </w:rPr>
              <w:t xml:space="preserve"> des territoires en partenariat avec Tour(s)plus</w:t>
            </w:r>
          </w:p>
        </w:tc>
      </w:tr>
      <w:tr w:rsidR="009B541F" w14:paraId="09150154" w14:textId="77777777" w:rsidTr="001D3158">
        <w:trPr>
          <w:trHeight w:val="95"/>
        </w:trPr>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21AACC58" w14:textId="77777777" w:rsidR="009B541F" w:rsidRDefault="00E437DD">
            <w:pPr>
              <w:pStyle w:val="Contenudetableau"/>
              <w:spacing w:before="120" w:after="120"/>
              <w:ind w:left="71" w:right="-10"/>
            </w:pPr>
            <w:r>
              <w:rPr>
                <w:rFonts w:ascii="Verdana" w:hAnsi="Verdana" w:cs="Verdana"/>
                <w:b/>
                <w:bCs/>
                <w:color w:val="1F497D"/>
                <w:sz w:val="20"/>
                <w:szCs w:val="20"/>
              </w:rPr>
              <w:t xml:space="preserve">Partenaires et dispositifs mobilisables </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3E63CF6C" w14:textId="3EAFEAB3" w:rsidR="009B541F" w:rsidRDefault="5E6CA26B" w:rsidP="001D3158">
            <w:pPr>
              <w:pStyle w:val="Contenudetableau"/>
              <w:spacing w:before="120" w:after="120"/>
            </w:pPr>
            <w:r w:rsidRPr="001D3158">
              <w:rPr>
                <w:rFonts w:ascii="Verdana" w:hAnsi="Verdana" w:cs="Arial"/>
                <w:color w:val="1F497D"/>
                <w:sz w:val="20"/>
                <w:szCs w:val="20"/>
              </w:rPr>
              <w:t xml:space="preserve">Les villes de Tours, Saint Pierre des Corps et Joué les Tours, les bailleurs sociaux, le SMAT, </w:t>
            </w:r>
            <w:r w:rsidR="00E437DD" w:rsidRPr="001D3158">
              <w:rPr>
                <w:rFonts w:ascii="Verdana" w:hAnsi="Verdana" w:cs="Arial"/>
                <w:color w:val="1F497D"/>
                <w:sz w:val="20"/>
                <w:szCs w:val="20"/>
              </w:rPr>
              <w:t xml:space="preserve">Fil Bleu, ALE, </w:t>
            </w:r>
            <w:proofErr w:type="spellStart"/>
            <w:r w:rsidR="00E437DD" w:rsidRPr="001D3158">
              <w:rPr>
                <w:rFonts w:ascii="Verdana" w:hAnsi="Verdana" w:cs="Arial"/>
                <w:color w:val="1F497D"/>
                <w:sz w:val="20"/>
                <w:szCs w:val="20"/>
              </w:rPr>
              <w:t>Ademe</w:t>
            </w:r>
            <w:proofErr w:type="spellEnd"/>
            <w:r w:rsidR="00E437DD" w:rsidRPr="001D3158">
              <w:rPr>
                <w:rFonts w:ascii="Verdana" w:hAnsi="Verdana" w:cs="Arial"/>
                <w:color w:val="1F497D"/>
                <w:sz w:val="20"/>
                <w:szCs w:val="20"/>
              </w:rPr>
              <w:t xml:space="preserve">, </w:t>
            </w:r>
            <w:proofErr w:type="spellStart"/>
            <w:r w:rsidR="00E437DD" w:rsidRPr="001D3158">
              <w:rPr>
                <w:rFonts w:ascii="Verdana" w:hAnsi="Verdana" w:cs="Arial"/>
                <w:color w:val="1F497D"/>
                <w:sz w:val="20"/>
                <w:szCs w:val="20"/>
              </w:rPr>
              <w:t>Anah</w:t>
            </w:r>
            <w:proofErr w:type="spellEnd"/>
            <w:r w:rsidR="00E437DD" w:rsidRPr="001D3158">
              <w:rPr>
                <w:rFonts w:ascii="Verdana" w:hAnsi="Verdana" w:cs="Arial"/>
                <w:color w:val="1F497D"/>
                <w:sz w:val="20"/>
                <w:szCs w:val="20"/>
              </w:rPr>
              <w:t>, EPARECA, conseil départemental, conseil régional, associations, chambres consulaires, agence d'urbanisme</w:t>
            </w:r>
          </w:p>
        </w:tc>
      </w:tr>
      <w:tr w:rsidR="009B541F" w14:paraId="470D310C" w14:textId="77777777" w:rsidTr="001D3158">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0CD9D8ED" w14:textId="77777777" w:rsidR="009B541F" w:rsidRDefault="00E437DD">
            <w:pPr>
              <w:pStyle w:val="Contenudetableau"/>
              <w:spacing w:before="120" w:after="120"/>
              <w:ind w:left="71" w:right="-10"/>
            </w:pPr>
            <w:r>
              <w:rPr>
                <w:rFonts w:ascii="Verdana" w:hAnsi="Verdana" w:cs="Verdana"/>
                <w:b/>
                <w:bCs/>
                <w:color w:val="1F497D"/>
                <w:sz w:val="20"/>
                <w:szCs w:val="20"/>
              </w:rPr>
              <w:t>Financements mobilisables</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0788589F" w14:textId="77777777" w:rsidR="009B541F" w:rsidRDefault="00E437DD">
            <w:pPr>
              <w:pStyle w:val="Contenudetableau"/>
              <w:spacing w:before="120" w:after="120"/>
            </w:pPr>
            <w:r>
              <w:rPr>
                <w:rFonts w:ascii="Verdana" w:hAnsi="Verdana" w:cs="Arial"/>
                <w:color w:val="1F497D"/>
                <w:sz w:val="20"/>
                <w:szCs w:val="20"/>
              </w:rPr>
              <w:t xml:space="preserve">Appels à projets, ANRU, </w:t>
            </w:r>
            <w:proofErr w:type="spellStart"/>
            <w:r>
              <w:rPr>
                <w:rFonts w:ascii="Verdana" w:hAnsi="Verdana" w:cs="Arial"/>
                <w:color w:val="1F497D"/>
                <w:sz w:val="20"/>
                <w:szCs w:val="20"/>
              </w:rPr>
              <w:t>Anah</w:t>
            </w:r>
            <w:proofErr w:type="spellEnd"/>
            <w:r>
              <w:rPr>
                <w:rFonts w:ascii="Verdana" w:hAnsi="Verdana" w:cs="Arial"/>
                <w:color w:val="1F497D"/>
                <w:sz w:val="20"/>
                <w:szCs w:val="20"/>
              </w:rPr>
              <w:t xml:space="preserve">, CDC, CR, CD37, </w:t>
            </w:r>
            <w:proofErr w:type="spellStart"/>
            <w:r>
              <w:rPr>
                <w:rFonts w:ascii="Verdana" w:hAnsi="Verdana" w:cs="Arial"/>
                <w:color w:val="1F497D"/>
                <w:sz w:val="20"/>
                <w:szCs w:val="20"/>
              </w:rPr>
              <w:t>Ademe</w:t>
            </w:r>
            <w:proofErr w:type="spellEnd"/>
            <w:r>
              <w:rPr>
                <w:rFonts w:ascii="Verdana" w:hAnsi="Verdana" w:cs="Arial"/>
                <w:color w:val="1F497D"/>
                <w:sz w:val="20"/>
                <w:szCs w:val="20"/>
              </w:rPr>
              <w:t xml:space="preserve">, </w:t>
            </w:r>
            <w:proofErr w:type="spellStart"/>
            <w:r>
              <w:rPr>
                <w:rFonts w:ascii="Verdana" w:hAnsi="Verdana" w:cs="Arial"/>
                <w:color w:val="1F497D"/>
                <w:sz w:val="20"/>
                <w:szCs w:val="20"/>
              </w:rPr>
              <w:t>Feder</w:t>
            </w:r>
            <w:proofErr w:type="spellEnd"/>
            <w:r>
              <w:rPr>
                <w:rFonts w:ascii="Verdana" w:hAnsi="Verdana" w:cs="Arial"/>
                <w:color w:val="1F497D"/>
                <w:sz w:val="20"/>
                <w:szCs w:val="20"/>
              </w:rPr>
              <w:t xml:space="preserve">, </w:t>
            </w:r>
            <w:proofErr w:type="spellStart"/>
            <w:r>
              <w:rPr>
                <w:rFonts w:ascii="Verdana" w:hAnsi="Verdana" w:cs="Arial"/>
                <w:color w:val="1F497D"/>
                <w:sz w:val="20"/>
                <w:szCs w:val="20"/>
              </w:rPr>
              <w:t>Fisac</w:t>
            </w:r>
            <w:proofErr w:type="spellEnd"/>
            <w:r>
              <w:rPr>
                <w:rFonts w:ascii="Verdana" w:hAnsi="Verdana" w:cs="Arial"/>
                <w:color w:val="1F497D"/>
                <w:sz w:val="20"/>
                <w:szCs w:val="20"/>
              </w:rPr>
              <w:t>...</w:t>
            </w:r>
          </w:p>
        </w:tc>
      </w:tr>
      <w:tr w:rsidR="009B541F" w14:paraId="68135215" w14:textId="77777777" w:rsidTr="001D3158">
        <w:trPr>
          <w:trHeight w:val="272"/>
        </w:trPr>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0BFADFC8" w14:textId="77777777" w:rsidR="009B541F" w:rsidRDefault="00E437DD">
            <w:pPr>
              <w:pStyle w:val="Contenudetableau"/>
              <w:spacing w:before="120" w:after="120"/>
              <w:ind w:left="71" w:right="-10"/>
            </w:pPr>
            <w:r>
              <w:rPr>
                <w:rFonts w:ascii="Verdana" w:hAnsi="Verdana" w:cs="Verdana"/>
                <w:b/>
                <w:bCs/>
                <w:color w:val="1F497D"/>
                <w:sz w:val="20"/>
                <w:szCs w:val="20"/>
              </w:rPr>
              <w:t>Calendrier</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5A807B4F" w14:textId="216EA55E" w:rsidR="009B541F" w:rsidRDefault="00CA50FC" w:rsidP="00CA50FC">
            <w:pPr>
              <w:pStyle w:val="Contenudetableau"/>
              <w:spacing w:before="120" w:after="120"/>
            </w:pPr>
            <w:r w:rsidRPr="00CA50FC">
              <w:rPr>
                <w:rFonts w:ascii="Verdana" w:hAnsi="Verdana" w:cs="Arial"/>
                <w:color w:val="1F497D"/>
                <w:sz w:val="20"/>
                <w:szCs w:val="20"/>
              </w:rPr>
              <w:t>2015-2020</w:t>
            </w:r>
          </w:p>
        </w:tc>
      </w:tr>
      <w:tr w:rsidR="009B541F" w14:paraId="6A66493A" w14:textId="77777777" w:rsidTr="001D3158">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0F464769" w14:textId="77777777" w:rsidR="009B541F" w:rsidRDefault="00E437DD">
            <w:pPr>
              <w:pStyle w:val="Contenudetableau"/>
              <w:spacing w:before="120" w:after="120"/>
              <w:ind w:left="71" w:right="-10"/>
            </w:pPr>
            <w:r>
              <w:rPr>
                <w:rFonts w:ascii="Verdana" w:hAnsi="Verdana" w:cs="Verdana"/>
                <w:b/>
                <w:bCs/>
                <w:color w:val="1F497D"/>
                <w:sz w:val="20"/>
                <w:szCs w:val="20"/>
              </w:rPr>
              <w:lastRenderedPageBreak/>
              <w:t>Indicateurs de suivi</w:t>
            </w:r>
          </w:p>
          <w:p w14:paraId="2B9F69EB" w14:textId="77777777" w:rsidR="009B541F" w:rsidRDefault="00E437DD">
            <w:pPr>
              <w:pStyle w:val="Contenudetableau"/>
              <w:spacing w:before="120" w:after="120"/>
              <w:ind w:left="71" w:right="-10"/>
            </w:pPr>
            <w:r>
              <w:rPr>
                <w:rFonts w:ascii="Verdana" w:hAnsi="Verdana" w:cs="Verdana"/>
                <w:b/>
                <w:bCs/>
                <w:color w:val="1F497D"/>
                <w:sz w:val="20"/>
                <w:szCs w:val="20"/>
              </w:rPr>
              <w:t>Indicateurs d’évaluation</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647BF839" w14:textId="68716B64" w:rsidR="009B541F" w:rsidRPr="001D3158" w:rsidRDefault="00E437DD" w:rsidP="001D3158">
            <w:pPr>
              <w:pStyle w:val="Contenudetableau"/>
              <w:spacing w:before="120" w:after="120"/>
              <w:rPr>
                <w:rFonts w:ascii="Verdana" w:hAnsi="Verdana" w:cs="Arial"/>
                <w:color w:val="1F497D"/>
                <w:sz w:val="20"/>
                <w:szCs w:val="20"/>
              </w:rPr>
            </w:pPr>
            <w:r w:rsidRPr="5E6CA26B">
              <w:rPr>
                <w:rFonts w:ascii="Verdana,Arial" w:eastAsia="Verdana,Arial" w:hAnsi="Verdana,Arial" w:cs="Verdana,Arial"/>
                <w:color w:val="1F497D"/>
                <w:sz w:val="20"/>
                <w:szCs w:val="20"/>
              </w:rPr>
              <w:t xml:space="preserve">- </w:t>
            </w:r>
            <w:r w:rsidRPr="001D3158">
              <w:rPr>
                <w:rFonts w:ascii="Verdana" w:hAnsi="Verdana" w:cs="Arial"/>
                <w:color w:val="1F497D"/>
                <w:sz w:val="20"/>
                <w:szCs w:val="20"/>
              </w:rPr>
              <w:t xml:space="preserve">nombre de logements privés (locatifs ou propriétaires occupants) et en accession sociale construits  dans les quartiers prioritaires </w:t>
            </w:r>
            <w:r w:rsidR="68716B64" w:rsidRPr="001D3158">
              <w:rPr>
                <w:rFonts w:ascii="Verdana" w:hAnsi="Verdana" w:cs="Arial"/>
                <w:color w:val="1F497D"/>
                <w:sz w:val="20"/>
                <w:szCs w:val="20"/>
              </w:rPr>
              <w:t xml:space="preserve"> même indicateur que 2.1.1</w:t>
            </w:r>
            <w:r>
              <w:rPr>
                <w:rFonts w:ascii="Verdana" w:hAnsi="Verdana" w:cs="Arial"/>
                <w:color w:val="1F497D"/>
                <w:sz w:val="20"/>
                <w:szCs w:val="20"/>
              </w:rPr>
              <w:br/>
            </w:r>
            <w:r w:rsidRPr="001D3158">
              <w:rPr>
                <w:rFonts w:ascii="Verdana" w:hAnsi="Verdana" w:cs="Arial"/>
                <w:color w:val="1F497D"/>
                <w:sz w:val="20"/>
                <w:szCs w:val="20"/>
              </w:rPr>
              <w:t>- nombre de commerces, services, bureaux, activités créés dans les quartiers prioritaires et nombre d’emplois créés même indicateur que 2.1.2</w:t>
            </w:r>
            <w:r>
              <w:rPr>
                <w:rFonts w:ascii="Verdana" w:hAnsi="Verdana" w:cs="Arial"/>
                <w:color w:val="1F497D"/>
                <w:sz w:val="20"/>
                <w:szCs w:val="20"/>
              </w:rPr>
              <w:br/>
            </w:r>
            <w:r w:rsidRPr="001D3158">
              <w:rPr>
                <w:rFonts w:ascii="Verdana" w:hAnsi="Verdana" w:cs="Arial"/>
                <w:color w:val="1F497D"/>
                <w:sz w:val="20"/>
                <w:szCs w:val="20"/>
              </w:rPr>
              <w:t xml:space="preserve">- nombre de </w:t>
            </w:r>
            <w:proofErr w:type="spellStart"/>
            <w:r w:rsidRPr="001D3158">
              <w:rPr>
                <w:rFonts w:ascii="Verdana" w:hAnsi="Verdana" w:cs="Arial"/>
                <w:color w:val="1F497D"/>
                <w:sz w:val="20"/>
                <w:szCs w:val="20"/>
              </w:rPr>
              <w:t>logts</w:t>
            </w:r>
            <w:proofErr w:type="spellEnd"/>
            <w:r w:rsidRPr="001D3158">
              <w:rPr>
                <w:rFonts w:ascii="Verdana" w:hAnsi="Verdana" w:cs="Arial"/>
                <w:color w:val="1F497D"/>
                <w:sz w:val="20"/>
                <w:szCs w:val="20"/>
              </w:rPr>
              <w:t xml:space="preserve"> sociaux et privés réhabilités thermiquement &amp; bilan énergétique (avant/après)  même indicateur que 2.1.1</w:t>
            </w:r>
          </w:p>
          <w:p w14:paraId="2AD5F8C3" w14:textId="4D8A92B4" w:rsidR="009B541F" w:rsidRPr="001D3158" w:rsidRDefault="00E437DD" w:rsidP="001D3158">
            <w:pPr>
              <w:pStyle w:val="Contenudetableau"/>
              <w:spacing w:before="120" w:after="120"/>
              <w:rPr>
                <w:rFonts w:ascii="Verdana" w:hAnsi="Verdana" w:cs="Arial"/>
                <w:color w:val="1F497D"/>
                <w:sz w:val="20"/>
                <w:szCs w:val="20"/>
              </w:rPr>
            </w:pPr>
            <w:r w:rsidRPr="001D3158">
              <w:rPr>
                <w:rFonts w:ascii="Verdana" w:hAnsi="Verdana" w:cs="Arial"/>
                <w:color w:val="1F497D"/>
                <w:sz w:val="20"/>
                <w:szCs w:val="20"/>
              </w:rPr>
              <w:t xml:space="preserve">- nombre de </w:t>
            </w:r>
            <w:proofErr w:type="spellStart"/>
            <w:r w:rsidRPr="001D3158">
              <w:rPr>
                <w:rFonts w:ascii="Verdana" w:hAnsi="Verdana" w:cs="Arial"/>
                <w:color w:val="1F497D"/>
                <w:sz w:val="20"/>
                <w:szCs w:val="20"/>
              </w:rPr>
              <w:t>logts</w:t>
            </w:r>
            <w:proofErr w:type="spellEnd"/>
            <w:r w:rsidRPr="001D3158">
              <w:rPr>
                <w:rFonts w:ascii="Verdana" w:hAnsi="Verdana" w:cs="Arial"/>
                <w:color w:val="1F497D"/>
                <w:sz w:val="20"/>
                <w:szCs w:val="20"/>
              </w:rPr>
              <w:t xml:space="preserve"> alimentés par une énergie renouvelable</w:t>
            </w:r>
            <w:r>
              <w:rPr>
                <w:rFonts w:ascii="Verdana" w:hAnsi="Verdana" w:cs="Arial"/>
                <w:color w:val="1F497D"/>
                <w:sz w:val="20"/>
                <w:szCs w:val="20"/>
              </w:rPr>
              <w:br/>
            </w:r>
            <w:r w:rsidRPr="001D3158">
              <w:rPr>
                <w:rFonts w:ascii="Verdana" w:hAnsi="Verdana" w:cs="Arial"/>
                <w:color w:val="1F497D"/>
                <w:sz w:val="20"/>
                <w:szCs w:val="20"/>
              </w:rPr>
              <w:t>- nombre de logements bénéficiant d’une réduction de la vulnérabilité à l’inondation</w:t>
            </w:r>
            <w:r>
              <w:rPr>
                <w:rFonts w:ascii="Verdana" w:hAnsi="Verdana" w:cs="Arial"/>
                <w:color w:val="1F497D"/>
                <w:sz w:val="20"/>
                <w:szCs w:val="20"/>
              </w:rPr>
              <w:br/>
            </w:r>
            <w:r w:rsidRPr="001D3158">
              <w:rPr>
                <w:rFonts w:ascii="Verdana" w:hAnsi="Verdana" w:cs="Arial"/>
                <w:color w:val="1F497D"/>
                <w:sz w:val="20"/>
                <w:szCs w:val="20"/>
              </w:rPr>
              <w:t>- nombre de logements dont le plancher se situe totalement sous les PHEC</w:t>
            </w:r>
            <w:r>
              <w:rPr>
                <w:rFonts w:ascii="Verdana" w:hAnsi="Verdana" w:cs="Arial"/>
                <w:color w:val="1F497D"/>
                <w:sz w:val="20"/>
                <w:szCs w:val="20"/>
              </w:rPr>
              <w:br/>
            </w:r>
            <w:r w:rsidRPr="001D3158">
              <w:rPr>
                <w:rFonts w:ascii="Verdana" w:hAnsi="Verdana" w:cs="Arial"/>
                <w:color w:val="1F497D"/>
                <w:sz w:val="20"/>
                <w:szCs w:val="20"/>
              </w:rPr>
              <w:t xml:space="preserve">- nombre d’habitants (F/H/âge) des quartiers prioritaires ayant bénéficié d’un conseil à la mobilité </w:t>
            </w:r>
            <w:r w:rsidR="68716B64" w:rsidRPr="001D3158">
              <w:rPr>
                <w:rFonts w:ascii="Verdana" w:hAnsi="Verdana" w:cs="Arial"/>
                <w:color w:val="1F497D"/>
                <w:sz w:val="20"/>
                <w:szCs w:val="20"/>
              </w:rPr>
              <w:t xml:space="preserve"> même indicateur- complété- que 2.1.3</w:t>
            </w:r>
            <w:r>
              <w:rPr>
                <w:rFonts w:ascii="Verdana" w:hAnsi="Verdana" w:cs="Arial"/>
                <w:color w:val="1F497D"/>
                <w:sz w:val="20"/>
                <w:szCs w:val="20"/>
              </w:rPr>
              <w:br/>
            </w:r>
            <w:r w:rsidRPr="001D3158">
              <w:rPr>
                <w:rFonts w:ascii="Verdana" w:hAnsi="Verdana" w:cs="Arial"/>
                <w:color w:val="1F497D"/>
                <w:sz w:val="20"/>
                <w:szCs w:val="20"/>
              </w:rPr>
              <w:t>- gains de temps de parcours par ligne desservant les quartiers prioritaires</w:t>
            </w:r>
            <w:r>
              <w:rPr>
                <w:rFonts w:ascii="Verdana" w:hAnsi="Verdana" w:cs="Arial"/>
                <w:color w:val="1F497D"/>
                <w:sz w:val="20"/>
                <w:szCs w:val="20"/>
              </w:rPr>
              <w:br/>
            </w:r>
            <w:r w:rsidRPr="001D3158">
              <w:rPr>
                <w:rFonts w:ascii="Verdana" w:hAnsi="Verdana" w:cs="Arial"/>
                <w:color w:val="1F497D"/>
                <w:sz w:val="20"/>
                <w:szCs w:val="20"/>
              </w:rPr>
              <w:t>- fréquence par ligne desservant les quartiers prioritaires</w:t>
            </w:r>
            <w:r>
              <w:rPr>
                <w:rFonts w:ascii="Verdana" w:hAnsi="Verdana" w:cs="Arial"/>
                <w:color w:val="1F497D"/>
                <w:sz w:val="20"/>
                <w:szCs w:val="20"/>
              </w:rPr>
              <w:br/>
            </w:r>
            <w:r w:rsidRPr="001D3158">
              <w:rPr>
                <w:rFonts w:ascii="Verdana" w:hAnsi="Verdana" w:cs="Arial"/>
                <w:color w:val="1F497D"/>
                <w:sz w:val="20"/>
                <w:szCs w:val="20"/>
              </w:rPr>
              <w:t>- nombre d’opérations de sensibilisation au risque inondation</w:t>
            </w:r>
            <w:r>
              <w:rPr>
                <w:rFonts w:ascii="Verdana" w:hAnsi="Verdana" w:cs="Arial"/>
                <w:color w:val="1F497D"/>
                <w:sz w:val="20"/>
                <w:szCs w:val="20"/>
              </w:rPr>
              <w:br/>
            </w:r>
            <w:r w:rsidRPr="001D3158">
              <w:rPr>
                <w:rFonts w:ascii="Verdana" w:hAnsi="Verdana" w:cs="Arial"/>
                <w:color w:val="1F497D"/>
                <w:sz w:val="20"/>
                <w:szCs w:val="20"/>
              </w:rPr>
              <w:t>- surfaces imperméabilisées converties en espaces verts et types de végétaux utilisés</w:t>
            </w:r>
            <w:r w:rsidR="001D3158">
              <w:rPr>
                <w:rFonts w:ascii="Verdana" w:hAnsi="Verdana" w:cs="Arial"/>
                <w:color w:val="1F497D"/>
                <w:sz w:val="20"/>
                <w:szCs w:val="20"/>
              </w:rPr>
              <w:br/>
            </w:r>
            <w:r w:rsidR="50D5E19E" w:rsidRPr="001D3158">
              <w:rPr>
                <w:rFonts w:ascii="Verdana" w:hAnsi="Verdana" w:cs="Arial"/>
                <w:color w:val="1F497D"/>
                <w:sz w:val="20"/>
                <w:szCs w:val="20"/>
              </w:rPr>
              <w:t>- surfaces de toiture ou de mur végétalisées</w:t>
            </w:r>
          </w:p>
        </w:tc>
      </w:tr>
      <w:tr w:rsidR="009B541F" w14:paraId="1843A17D" w14:textId="77777777" w:rsidTr="001D3158">
        <w:tc>
          <w:tcPr>
            <w:tcW w:w="25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509793CC" w14:textId="1874B621" w:rsidR="009B541F" w:rsidRDefault="00BE1E9E" w:rsidP="060C54C9">
            <w:pPr>
              <w:pStyle w:val="Contenudetableau"/>
              <w:spacing w:before="120" w:after="120"/>
              <w:ind w:left="71" w:right="-10"/>
            </w:pPr>
            <w:r>
              <w:rPr>
                <w:rFonts w:ascii="Verdana" w:eastAsia="Verdana" w:hAnsi="Verdana" w:cs="Verdana"/>
                <w:b/>
                <w:bCs/>
                <w:noProof/>
                <w:color w:val="1F497D" w:themeColor="text2"/>
                <w:sz w:val="20"/>
                <w:szCs w:val="20"/>
                <w:lang w:eastAsia="fr-FR" w:bidi="ar-SA"/>
              </w:rPr>
              <w:pict w14:anchorId="507BD84B">
                <v:rect id="_x0000_s1026" style="position:absolute;left:0;text-align:left;margin-left:-9.8pt;margin-top:66.65pt;width:564.75pt;height:67.5pt;z-index:251658240;mso-position-horizontal-relative:text;mso-position-vertical-relative:text" stroked="f"/>
              </w:pict>
            </w:r>
            <w:r w:rsidR="060C54C9" w:rsidRPr="060C54C9">
              <w:rPr>
                <w:rFonts w:ascii="Verdana" w:eastAsia="Verdana" w:hAnsi="Verdana" w:cs="Verdana"/>
                <w:b/>
                <w:bCs/>
                <w:color w:val="1F497D" w:themeColor="text2"/>
                <w:sz w:val="20"/>
                <w:szCs w:val="20"/>
              </w:rPr>
              <w:t>liens autres enjeux/fiches "orientations opérationnelles</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top w:w="0" w:type="dxa"/>
              <w:left w:w="15" w:type="dxa"/>
              <w:bottom w:w="0" w:type="dxa"/>
              <w:right w:w="10" w:type="dxa"/>
            </w:tcMar>
          </w:tcPr>
          <w:p w14:paraId="72257D87" w14:textId="77777777" w:rsidR="009B541F" w:rsidRDefault="00E437DD">
            <w:pPr>
              <w:pStyle w:val="Standard"/>
              <w:spacing w:before="120" w:after="120"/>
              <w:jc w:val="both"/>
            </w:pPr>
            <w:r>
              <w:rPr>
                <w:rFonts w:ascii="Verdana" w:hAnsi="Verdana" w:cs="Arial"/>
                <w:color w:val="1F497D"/>
                <w:sz w:val="20"/>
                <w:szCs w:val="20"/>
              </w:rPr>
              <w:t>Liens avec fiches 1.1.7, 2.1.1, 2.1.2, 2.1.3, 2.1.5, 2.1.6, toutes les fiches du 2.2 (approfondir les stratégies de peuplement et les ancrer dans le fonctionnement des quartiers prioritaires), 3.2.2, 3.2.3, T.3.2, T.2.4.</w:t>
            </w:r>
          </w:p>
        </w:tc>
      </w:tr>
    </w:tbl>
    <w:p w14:paraId="716D1C8D" w14:textId="1D211022" w:rsidR="009B541F" w:rsidRDefault="009B541F">
      <w:pPr>
        <w:pStyle w:val="WW-Standard"/>
        <w:shd w:val="clear" w:color="auto" w:fill="1F497D"/>
        <w:spacing w:after="57"/>
      </w:pPr>
      <w:bookmarkStart w:id="0" w:name="_GoBack"/>
      <w:bookmarkEnd w:id="0"/>
    </w:p>
    <w:sectPr w:rsidR="009B541F" w:rsidSect="009B541F">
      <w:footerReference w:type="default" r:id="rId11"/>
      <w:pgSz w:w="11906" w:h="16838"/>
      <w:pgMar w:top="454" w:right="567" w:bottom="737" w:left="567" w:header="0" w:footer="567" w:gutter="0"/>
      <w:cols w:space="720"/>
      <w:formProt w:val="0"/>
      <w:docGrid w:linePitch="360" w:charSpace="-6145"/>
    </w:sectPr>
  </w:body>
</w:document>
</file>

<file path=word/commentsExtended.xml><?xml version="1.0" encoding="utf-8"?>
<w15:commentsEx xmlns:mc="http://schemas.openxmlformats.org/markup-compatibility/2006" xmlns:w15="http://schemas.microsoft.com/office/word/2012/wordml" mc:Ignorable="w15">
  <w15:commentEx w15:done="0" w15:paraId="1BEA770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59F49" w14:textId="77777777" w:rsidR="009B541F" w:rsidRDefault="009B541F" w:rsidP="009B541F">
      <w:pPr>
        <w:spacing w:after="0" w:line="240" w:lineRule="auto"/>
      </w:pPr>
      <w:r>
        <w:separator/>
      </w:r>
    </w:p>
  </w:endnote>
  <w:endnote w:type="continuationSeparator" w:id="0">
    <w:p w14:paraId="704975A1" w14:textId="77777777" w:rsidR="009B541F" w:rsidRDefault="009B541F" w:rsidP="009B5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iberation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7946C" w14:textId="77777777" w:rsidR="009B541F" w:rsidRDefault="00E437DD" w:rsidP="00591724">
    <w:pPr>
      <w:pStyle w:val="Pieddepage"/>
      <w:widowControl/>
      <w:spacing w:after="0" w:line="240" w:lineRule="auto"/>
      <w:jc w:val="right"/>
    </w:pPr>
    <w:r>
      <w:rPr>
        <w:rFonts w:ascii="Verdana" w:hAnsi="Verdana" w:cs="Verdana"/>
        <w:sz w:val="16"/>
        <w:szCs w:val="16"/>
      </w:rPr>
      <w:t>Contrat de ville</w:t>
    </w:r>
  </w:p>
  <w:p w14:paraId="3CBF2769" w14:textId="401A36EE" w:rsidR="009B541F" w:rsidRDefault="00E437DD" w:rsidP="00591724">
    <w:pPr>
      <w:pStyle w:val="Pieddepage"/>
      <w:widowControl/>
      <w:spacing w:after="0" w:line="240" w:lineRule="auto"/>
      <w:jc w:val="right"/>
    </w:pPr>
    <w:r>
      <w:rPr>
        <w:rFonts w:ascii="Verdana" w:hAnsi="Verdana" w:cs="Verdana"/>
        <w:sz w:val="16"/>
        <w:szCs w:val="16"/>
      </w:rPr>
      <w:t xml:space="preserve">Fiche </w:t>
    </w:r>
    <w:r w:rsidR="00591724">
      <w:rPr>
        <w:rFonts w:ascii="Verdana" w:hAnsi="Verdana" w:cs="Verdana"/>
        <w:sz w:val="16"/>
        <w:szCs w:val="16"/>
      </w:rPr>
      <w:t>orientation opérationnelle</w:t>
    </w:r>
    <w:r>
      <w:rPr>
        <w:rFonts w:ascii="Verdana" w:hAnsi="Verdana" w:cs="Verdana"/>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DC608" w14:textId="77777777" w:rsidR="009B541F" w:rsidRDefault="009B541F" w:rsidP="009B541F">
      <w:pPr>
        <w:spacing w:after="0" w:line="240" w:lineRule="auto"/>
      </w:pPr>
      <w:r>
        <w:separator/>
      </w:r>
    </w:p>
  </w:footnote>
  <w:footnote w:type="continuationSeparator" w:id="0">
    <w:p w14:paraId="6D7D4084" w14:textId="77777777" w:rsidR="009B541F" w:rsidRDefault="009B541F" w:rsidP="009B54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169D"/>
    <w:multiLevelType w:val="hybridMultilevel"/>
    <w:tmpl w:val="98EE4A92"/>
    <w:lvl w:ilvl="0" w:tplc="38D23336">
      <w:start w:val="1"/>
      <w:numFmt w:val="bullet"/>
      <w:lvlText w:val=""/>
      <w:lvlJc w:val="left"/>
      <w:pPr>
        <w:ind w:left="720" w:hanging="360"/>
      </w:pPr>
      <w:rPr>
        <w:rFonts w:ascii="Symbol" w:hAnsi="Symbol" w:hint="default"/>
      </w:rPr>
    </w:lvl>
    <w:lvl w:ilvl="1" w:tplc="2C4E2436">
      <w:start w:val="1"/>
      <w:numFmt w:val="bullet"/>
      <w:lvlText w:val="o"/>
      <w:lvlJc w:val="left"/>
      <w:pPr>
        <w:ind w:left="1440" w:hanging="360"/>
      </w:pPr>
      <w:rPr>
        <w:rFonts w:ascii="Courier New" w:hAnsi="Courier New" w:hint="default"/>
      </w:rPr>
    </w:lvl>
    <w:lvl w:ilvl="2" w:tplc="A4D28B2C">
      <w:start w:val="1"/>
      <w:numFmt w:val="bullet"/>
      <w:lvlText w:val=""/>
      <w:lvlJc w:val="left"/>
      <w:pPr>
        <w:ind w:left="2160" w:hanging="360"/>
      </w:pPr>
      <w:rPr>
        <w:rFonts w:ascii="Wingdings" w:hAnsi="Wingdings" w:hint="default"/>
      </w:rPr>
    </w:lvl>
    <w:lvl w:ilvl="3" w:tplc="9BDA8DC6">
      <w:start w:val="1"/>
      <w:numFmt w:val="bullet"/>
      <w:lvlText w:val=""/>
      <w:lvlJc w:val="left"/>
      <w:pPr>
        <w:ind w:left="2880" w:hanging="360"/>
      </w:pPr>
      <w:rPr>
        <w:rFonts w:ascii="Symbol" w:hAnsi="Symbol" w:hint="default"/>
      </w:rPr>
    </w:lvl>
    <w:lvl w:ilvl="4" w:tplc="867252B2">
      <w:start w:val="1"/>
      <w:numFmt w:val="bullet"/>
      <w:lvlText w:val="o"/>
      <w:lvlJc w:val="left"/>
      <w:pPr>
        <w:ind w:left="3600" w:hanging="360"/>
      </w:pPr>
      <w:rPr>
        <w:rFonts w:ascii="Courier New" w:hAnsi="Courier New" w:hint="default"/>
      </w:rPr>
    </w:lvl>
    <w:lvl w:ilvl="5" w:tplc="FB2A3F40">
      <w:start w:val="1"/>
      <w:numFmt w:val="bullet"/>
      <w:lvlText w:val=""/>
      <w:lvlJc w:val="left"/>
      <w:pPr>
        <w:ind w:left="4320" w:hanging="360"/>
      </w:pPr>
      <w:rPr>
        <w:rFonts w:ascii="Wingdings" w:hAnsi="Wingdings" w:hint="default"/>
      </w:rPr>
    </w:lvl>
    <w:lvl w:ilvl="6" w:tplc="F6303F58">
      <w:start w:val="1"/>
      <w:numFmt w:val="bullet"/>
      <w:lvlText w:val=""/>
      <w:lvlJc w:val="left"/>
      <w:pPr>
        <w:ind w:left="5040" w:hanging="360"/>
      </w:pPr>
      <w:rPr>
        <w:rFonts w:ascii="Symbol" w:hAnsi="Symbol" w:hint="default"/>
      </w:rPr>
    </w:lvl>
    <w:lvl w:ilvl="7" w:tplc="7ED29D88">
      <w:start w:val="1"/>
      <w:numFmt w:val="bullet"/>
      <w:lvlText w:val="o"/>
      <w:lvlJc w:val="left"/>
      <w:pPr>
        <w:ind w:left="5760" w:hanging="360"/>
      </w:pPr>
      <w:rPr>
        <w:rFonts w:ascii="Courier New" w:hAnsi="Courier New" w:hint="default"/>
      </w:rPr>
    </w:lvl>
    <w:lvl w:ilvl="8" w:tplc="E0E8DCA0">
      <w:start w:val="1"/>
      <w:numFmt w:val="bullet"/>
      <w:lvlText w:val=""/>
      <w:lvlJc w:val="left"/>
      <w:pPr>
        <w:ind w:left="6480" w:hanging="360"/>
      </w:pPr>
      <w:rPr>
        <w:rFonts w:ascii="Wingdings" w:hAnsi="Wingdings" w:hint="default"/>
      </w:rPr>
    </w:lvl>
  </w:abstractNum>
  <w:abstractNum w:abstractNumId="1">
    <w:nsid w:val="122B2158"/>
    <w:multiLevelType w:val="multilevel"/>
    <w:tmpl w:val="C6BE208A"/>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2">
    <w:nsid w:val="40F123DF"/>
    <w:multiLevelType w:val="multilevel"/>
    <w:tmpl w:val="0BB457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4A881217"/>
    <w:multiLevelType w:val="hybridMultilevel"/>
    <w:tmpl w:val="84BC8456"/>
    <w:lvl w:ilvl="0" w:tplc="73982AC0">
      <w:start w:val="1"/>
      <w:numFmt w:val="bullet"/>
      <w:lvlText w:val=""/>
      <w:lvlJc w:val="left"/>
      <w:pPr>
        <w:ind w:left="720" w:hanging="360"/>
      </w:pPr>
      <w:rPr>
        <w:rFonts w:ascii="Symbol" w:hAnsi="Symbol" w:hint="default"/>
      </w:rPr>
    </w:lvl>
    <w:lvl w:ilvl="1" w:tplc="62D28C04">
      <w:start w:val="1"/>
      <w:numFmt w:val="bullet"/>
      <w:lvlText w:val=""/>
      <w:lvlJc w:val="left"/>
      <w:pPr>
        <w:ind w:left="1440" w:hanging="360"/>
      </w:pPr>
      <w:rPr>
        <w:rFonts w:ascii="Symbol" w:hAnsi="Symbol" w:hint="default"/>
      </w:rPr>
    </w:lvl>
    <w:lvl w:ilvl="2" w:tplc="19645E90">
      <w:start w:val="1"/>
      <w:numFmt w:val="bullet"/>
      <w:lvlText w:val=""/>
      <w:lvlJc w:val="left"/>
      <w:pPr>
        <w:ind w:left="2160" w:hanging="360"/>
      </w:pPr>
      <w:rPr>
        <w:rFonts w:ascii="Wingdings" w:hAnsi="Wingdings" w:hint="default"/>
      </w:rPr>
    </w:lvl>
    <w:lvl w:ilvl="3" w:tplc="2FA65AC0">
      <w:start w:val="1"/>
      <w:numFmt w:val="bullet"/>
      <w:lvlText w:val=""/>
      <w:lvlJc w:val="left"/>
      <w:pPr>
        <w:ind w:left="2880" w:hanging="360"/>
      </w:pPr>
      <w:rPr>
        <w:rFonts w:ascii="Symbol" w:hAnsi="Symbol" w:hint="default"/>
      </w:rPr>
    </w:lvl>
    <w:lvl w:ilvl="4" w:tplc="D7CAEF50">
      <w:start w:val="1"/>
      <w:numFmt w:val="bullet"/>
      <w:lvlText w:val="o"/>
      <w:lvlJc w:val="left"/>
      <w:pPr>
        <w:ind w:left="3600" w:hanging="360"/>
      </w:pPr>
      <w:rPr>
        <w:rFonts w:ascii="Courier New" w:hAnsi="Courier New" w:hint="default"/>
      </w:rPr>
    </w:lvl>
    <w:lvl w:ilvl="5" w:tplc="77102DC0">
      <w:start w:val="1"/>
      <w:numFmt w:val="bullet"/>
      <w:lvlText w:val=""/>
      <w:lvlJc w:val="left"/>
      <w:pPr>
        <w:ind w:left="4320" w:hanging="360"/>
      </w:pPr>
      <w:rPr>
        <w:rFonts w:ascii="Wingdings" w:hAnsi="Wingdings" w:hint="default"/>
      </w:rPr>
    </w:lvl>
    <w:lvl w:ilvl="6" w:tplc="9254135E">
      <w:start w:val="1"/>
      <w:numFmt w:val="bullet"/>
      <w:lvlText w:val=""/>
      <w:lvlJc w:val="left"/>
      <w:pPr>
        <w:ind w:left="5040" w:hanging="360"/>
      </w:pPr>
      <w:rPr>
        <w:rFonts w:ascii="Symbol" w:hAnsi="Symbol" w:hint="default"/>
      </w:rPr>
    </w:lvl>
    <w:lvl w:ilvl="7" w:tplc="810AF46A">
      <w:start w:val="1"/>
      <w:numFmt w:val="bullet"/>
      <w:lvlText w:val="o"/>
      <w:lvlJc w:val="left"/>
      <w:pPr>
        <w:ind w:left="5760" w:hanging="360"/>
      </w:pPr>
      <w:rPr>
        <w:rFonts w:ascii="Courier New" w:hAnsi="Courier New" w:hint="default"/>
      </w:rPr>
    </w:lvl>
    <w:lvl w:ilvl="8" w:tplc="0D8E43EC">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people.xml><?xml version="1.0" encoding="utf-8"?>
<w15:people xmlns:mc="http://schemas.openxmlformats.org/markup-compatibility/2006" xmlns:w15="http://schemas.microsoft.com/office/word/2012/wordml" mc:Ignorable="w15">
  <w15:person w15:author="Jean-Charles DESIRE">
    <w15:presenceInfo w15:providerId="AD" w15:userId="1003000091653387@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541F"/>
    <w:rsid w:val="001D3158"/>
    <w:rsid w:val="003E6BF0"/>
    <w:rsid w:val="00591724"/>
    <w:rsid w:val="009B541F"/>
    <w:rsid w:val="00BE1E9E"/>
    <w:rsid w:val="00CA50FC"/>
    <w:rsid w:val="00E437DD"/>
    <w:rsid w:val="060C54C9"/>
    <w:rsid w:val="2E382646"/>
    <w:rsid w:val="465A590F"/>
    <w:rsid w:val="50D5E19E"/>
    <w:rsid w:val="5E6CA26B"/>
    <w:rsid w:val="68716B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EA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Titre"/>
    <w:rsid w:val="009B541F"/>
    <w:pPr>
      <w:outlineLvl w:val="0"/>
    </w:pPr>
    <w:rPr>
      <w:b/>
      <w:bCs/>
    </w:rPr>
  </w:style>
  <w:style w:type="paragraph" w:styleId="Titre2">
    <w:name w:val="heading 2"/>
    <w:basedOn w:val="Titre"/>
    <w:rsid w:val="009B541F"/>
    <w:pPr>
      <w:outlineLvl w:val="1"/>
    </w:pPr>
    <w:rPr>
      <w:b/>
      <w:bCs/>
      <w:i/>
      <w:iCs/>
    </w:rPr>
  </w:style>
  <w:style w:type="paragraph" w:styleId="Titre3">
    <w:name w:val="heading 3"/>
    <w:basedOn w:val="Titre"/>
    <w:rsid w:val="009B541F"/>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9B541F"/>
    <w:pPr>
      <w:widowControl w:val="0"/>
      <w:tabs>
        <w:tab w:val="left" w:pos="709"/>
      </w:tabs>
      <w:suppressAutoHyphens/>
      <w:textAlignment w:val="baseline"/>
    </w:pPr>
    <w:rPr>
      <w:rFonts w:ascii="Times New Roman" w:eastAsia="SimSun" w:hAnsi="Times New Roman" w:cs="Mangal"/>
      <w:sz w:val="24"/>
      <w:szCs w:val="24"/>
      <w:lang w:eastAsia="zh-CN" w:bidi="hi-IN"/>
    </w:rPr>
  </w:style>
  <w:style w:type="character" w:customStyle="1" w:styleId="WW8Num1z0">
    <w:name w:val="WW8Num1z0"/>
    <w:rsid w:val="009B541F"/>
    <w:rPr>
      <w:rFonts w:ascii="Symbol" w:eastAsia="Times New Roman" w:hAnsi="Symbol" w:cs="Verdana"/>
    </w:rPr>
  </w:style>
  <w:style w:type="character" w:customStyle="1" w:styleId="WW8Num1z1">
    <w:name w:val="WW8Num1z1"/>
    <w:rsid w:val="009B541F"/>
    <w:rPr>
      <w:rFonts w:ascii="OpenSymbol" w:hAnsi="OpenSymbol" w:cs="Courier New"/>
    </w:rPr>
  </w:style>
  <w:style w:type="character" w:customStyle="1" w:styleId="WW8Num2z0">
    <w:name w:val="WW8Num2z0"/>
    <w:rsid w:val="009B541F"/>
    <w:rPr>
      <w:rFonts w:ascii="Verdana" w:eastAsia="SimSun" w:hAnsi="Verdana" w:cs="Mangal"/>
    </w:rPr>
  </w:style>
  <w:style w:type="character" w:customStyle="1" w:styleId="WW8Num2z1">
    <w:name w:val="WW8Num2z1"/>
    <w:rsid w:val="009B541F"/>
    <w:rPr>
      <w:rFonts w:ascii="Courier New" w:hAnsi="Courier New" w:cs="Courier New"/>
    </w:rPr>
  </w:style>
  <w:style w:type="character" w:customStyle="1" w:styleId="WW8Num2z2">
    <w:name w:val="WW8Num2z2"/>
    <w:rsid w:val="009B541F"/>
    <w:rPr>
      <w:rFonts w:ascii="Wingdings" w:hAnsi="Wingdings" w:cs="Wingdings"/>
    </w:rPr>
  </w:style>
  <w:style w:type="character" w:customStyle="1" w:styleId="WW8Num2z3">
    <w:name w:val="WW8Num2z3"/>
    <w:rsid w:val="009B541F"/>
    <w:rPr>
      <w:rFonts w:ascii="Symbol" w:hAnsi="Symbol" w:cs="Symbol"/>
    </w:rPr>
  </w:style>
  <w:style w:type="character" w:customStyle="1" w:styleId="WW8Num4z0">
    <w:name w:val="WW8Num4z0"/>
    <w:rsid w:val="009B541F"/>
    <w:rPr>
      <w:rFonts w:ascii="Verdana" w:eastAsia="Times New Roman" w:hAnsi="Verdana" w:cs="Verdana"/>
    </w:rPr>
  </w:style>
  <w:style w:type="character" w:customStyle="1" w:styleId="WW8Num4z1">
    <w:name w:val="WW8Num4z1"/>
    <w:rsid w:val="009B541F"/>
    <w:rPr>
      <w:rFonts w:ascii="Courier New" w:hAnsi="Courier New" w:cs="Courier New"/>
    </w:rPr>
  </w:style>
  <w:style w:type="character" w:customStyle="1" w:styleId="WW8Num4z2">
    <w:name w:val="WW8Num4z2"/>
    <w:rsid w:val="009B541F"/>
    <w:rPr>
      <w:rFonts w:ascii="Wingdings" w:hAnsi="Wingdings" w:cs="Wingdings"/>
    </w:rPr>
  </w:style>
  <w:style w:type="character" w:customStyle="1" w:styleId="WW8Num4z3">
    <w:name w:val="WW8Num4z3"/>
    <w:rsid w:val="009B541F"/>
    <w:rPr>
      <w:rFonts w:ascii="Symbol" w:hAnsi="Symbol" w:cs="Symbol"/>
    </w:rPr>
  </w:style>
  <w:style w:type="character" w:customStyle="1" w:styleId="WW8Num5z0">
    <w:name w:val="WW8Num5z0"/>
    <w:rsid w:val="009B541F"/>
    <w:rPr>
      <w:rFonts w:ascii="Symbol" w:hAnsi="Symbol" w:cs="OpenSymbol"/>
    </w:rPr>
  </w:style>
  <w:style w:type="character" w:customStyle="1" w:styleId="WW8Num5z1">
    <w:name w:val="WW8Num5z1"/>
    <w:rsid w:val="009B541F"/>
    <w:rPr>
      <w:rFonts w:ascii="OpenSymbol" w:hAnsi="OpenSymbol" w:cs="OpenSymbol"/>
    </w:rPr>
  </w:style>
  <w:style w:type="character" w:customStyle="1" w:styleId="WW8Num5z2">
    <w:name w:val="WW8Num5z2"/>
    <w:rsid w:val="009B541F"/>
    <w:rPr>
      <w:rFonts w:ascii="Wingdings" w:hAnsi="Wingdings" w:cs="Wingdings"/>
    </w:rPr>
  </w:style>
  <w:style w:type="character" w:customStyle="1" w:styleId="WW8Num5z3">
    <w:name w:val="WW8Num5z3"/>
    <w:rsid w:val="009B541F"/>
    <w:rPr>
      <w:rFonts w:ascii="Symbol" w:hAnsi="Symbol" w:cs="Symbol"/>
    </w:rPr>
  </w:style>
  <w:style w:type="character" w:customStyle="1" w:styleId="WW8Num6z0">
    <w:name w:val="WW8Num6z0"/>
    <w:rsid w:val="009B541F"/>
    <w:rPr>
      <w:rFonts w:ascii="Symbol" w:hAnsi="Symbol" w:cs="OpenSymbol"/>
    </w:rPr>
  </w:style>
  <w:style w:type="character" w:customStyle="1" w:styleId="WW8Num6z1">
    <w:name w:val="WW8Num6z1"/>
    <w:rsid w:val="009B541F"/>
    <w:rPr>
      <w:rFonts w:ascii="OpenSymbol" w:hAnsi="OpenSymbol" w:cs="OpenSymbol"/>
    </w:rPr>
  </w:style>
  <w:style w:type="character" w:customStyle="1" w:styleId="Policepardfaut1">
    <w:name w:val="Police par défaut1"/>
    <w:rsid w:val="009B541F"/>
  </w:style>
  <w:style w:type="character" w:customStyle="1" w:styleId="Caractresdenumrotation">
    <w:name w:val="Caractères de numérotation"/>
    <w:rsid w:val="009B541F"/>
    <w:rPr>
      <w:b/>
      <w:bCs/>
    </w:rPr>
  </w:style>
  <w:style w:type="character" w:customStyle="1" w:styleId="Puces">
    <w:name w:val="Puces"/>
    <w:rsid w:val="009B541F"/>
    <w:rPr>
      <w:rFonts w:ascii="OpenSymbol" w:eastAsia="OpenSymbol" w:hAnsi="OpenSymbol" w:cs="OpenSymbol"/>
    </w:rPr>
  </w:style>
  <w:style w:type="character" w:customStyle="1" w:styleId="En-tteCar">
    <w:name w:val="En-tête Car"/>
    <w:rsid w:val="009B541F"/>
    <w:rPr>
      <w:szCs w:val="21"/>
    </w:rPr>
  </w:style>
  <w:style w:type="character" w:styleId="Numrodepage">
    <w:name w:val="page number"/>
    <w:basedOn w:val="Policepardfaut1"/>
    <w:rsid w:val="009B541F"/>
  </w:style>
  <w:style w:type="character" w:customStyle="1" w:styleId="ListLabel1">
    <w:name w:val="ListLabel 1"/>
    <w:rsid w:val="009B541F"/>
    <w:rPr>
      <w:rFonts w:cs="OpenSymbol"/>
    </w:rPr>
  </w:style>
  <w:style w:type="character" w:customStyle="1" w:styleId="ListLabel2">
    <w:name w:val="ListLabel 2"/>
    <w:rsid w:val="009B541F"/>
    <w:rPr>
      <w:rFonts w:eastAsia="SimSun"/>
    </w:rPr>
  </w:style>
  <w:style w:type="character" w:customStyle="1" w:styleId="ListLabel3">
    <w:name w:val="ListLabel 3"/>
    <w:rsid w:val="009B541F"/>
    <w:rPr>
      <w:rFonts w:cs="Courier New"/>
    </w:rPr>
  </w:style>
  <w:style w:type="paragraph" w:styleId="Titre">
    <w:name w:val="Title"/>
    <w:basedOn w:val="WW-Standard"/>
    <w:next w:val="Corpsdetexte"/>
    <w:rsid w:val="009B541F"/>
    <w:pPr>
      <w:keepNext/>
      <w:spacing w:before="240" w:after="120"/>
    </w:pPr>
    <w:rPr>
      <w:rFonts w:ascii="Arial" w:eastAsia="Microsoft YaHei" w:hAnsi="Arial" w:cs="Arial"/>
      <w:sz w:val="28"/>
      <w:szCs w:val="28"/>
    </w:rPr>
  </w:style>
  <w:style w:type="paragraph" w:styleId="Corpsdetexte">
    <w:name w:val="Body Text"/>
    <w:basedOn w:val="WW-Standard"/>
    <w:rsid w:val="009B541F"/>
    <w:pPr>
      <w:spacing w:after="120" w:line="288" w:lineRule="auto"/>
    </w:pPr>
  </w:style>
  <w:style w:type="paragraph" w:styleId="Liste">
    <w:name w:val="List"/>
    <w:basedOn w:val="Corpsdetexte"/>
    <w:rsid w:val="009B541F"/>
    <w:rPr>
      <w:rFonts w:ascii="Liberation Sans" w:hAnsi="Liberation Sans"/>
    </w:rPr>
  </w:style>
  <w:style w:type="paragraph" w:styleId="Lgende">
    <w:name w:val="caption"/>
    <w:rsid w:val="009B541F"/>
    <w:pPr>
      <w:widowControl w:val="0"/>
      <w:suppressLineNumbers/>
      <w:tabs>
        <w:tab w:val="left" w:pos="709"/>
      </w:tabs>
      <w:suppressAutoHyphens/>
      <w:spacing w:before="120" w:after="120"/>
    </w:pPr>
    <w:rPr>
      <w:rFonts w:ascii="Times New Roman" w:eastAsia="Times New Roman" w:hAnsi="Times New Roman" w:cs="Times New Roman"/>
      <w:i/>
      <w:iCs/>
      <w:sz w:val="24"/>
      <w:szCs w:val="20"/>
    </w:rPr>
  </w:style>
  <w:style w:type="paragraph" w:customStyle="1" w:styleId="Index">
    <w:name w:val="Index"/>
    <w:rsid w:val="009B541F"/>
    <w:pPr>
      <w:widowControl w:val="0"/>
      <w:suppressLineNumbers/>
      <w:tabs>
        <w:tab w:val="left" w:pos="709"/>
      </w:tabs>
      <w:suppressAutoHyphens/>
    </w:pPr>
    <w:rPr>
      <w:rFonts w:ascii="Liberation Sans" w:eastAsia="Times New Roman" w:hAnsi="Liberation Sans" w:cs="Mangal"/>
      <w:sz w:val="24"/>
      <w:szCs w:val="20"/>
    </w:rPr>
  </w:style>
  <w:style w:type="paragraph" w:customStyle="1" w:styleId="Titre10">
    <w:name w:val="Titre1"/>
    <w:basedOn w:val="Standard"/>
    <w:rsid w:val="009B541F"/>
    <w:pPr>
      <w:keepNext/>
      <w:spacing w:before="240" w:after="120"/>
    </w:pPr>
    <w:rPr>
      <w:rFonts w:ascii="Arial" w:eastAsia="Microsoft YaHei" w:hAnsi="Arial"/>
      <w:sz w:val="28"/>
      <w:szCs w:val="28"/>
    </w:rPr>
  </w:style>
  <w:style w:type="paragraph" w:customStyle="1" w:styleId="WW-Standard">
    <w:name w:val="WW-Standard"/>
    <w:rsid w:val="009B541F"/>
    <w:pPr>
      <w:widowControl w:val="0"/>
      <w:tabs>
        <w:tab w:val="left" w:pos="709"/>
      </w:tabs>
      <w:suppressAutoHyphens/>
      <w:textAlignment w:val="baseline"/>
    </w:pPr>
    <w:rPr>
      <w:rFonts w:ascii="Times New Roman" w:eastAsia="SimSun" w:hAnsi="Times New Roman" w:cs="Mangal"/>
      <w:sz w:val="24"/>
      <w:szCs w:val="24"/>
      <w:lang w:eastAsia="zh-CN" w:bidi="hi-IN"/>
    </w:rPr>
  </w:style>
  <w:style w:type="paragraph" w:styleId="Pieddepage">
    <w:name w:val="footer"/>
    <w:basedOn w:val="WW-Standard"/>
    <w:rsid w:val="009B541F"/>
    <w:pPr>
      <w:suppressLineNumbers/>
    </w:pPr>
  </w:style>
  <w:style w:type="paragraph" w:customStyle="1" w:styleId="Contenudetableau">
    <w:name w:val="Contenu de tableau"/>
    <w:basedOn w:val="Standard"/>
    <w:rsid w:val="009B541F"/>
    <w:pPr>
      <w:suppressLineNumbers/>
    </w:pPr>
  </w:style>
  <w:style w:type="paragraph" w:styleId="En-tte">
    <w:name w:val="header"/>
    <w:basedOn w:val="Standard"/>
    <w:rsid w:val="009B541F"/>
    <w:rPr>
      <w:szCs w:val="21"/>
    </w:rPr>
  </w:style>
  <w:style w:type="paragraph" w:customStyle="1" w:styleId="Titredetableau">
    <w:name w:val="Titre de tableau"/>
    <w:basedOn w:val="Contenudetableau"/>
    <w:rsid w:val="009B541F"/>
    <w:pPr>
      <w:jc w:val="center"/>
    </w:pPr>
    <w:rPr>
      <w:b/>
      <w:bCs/>
    </w:rPr>
  </w:style>
  <w:style w:type="paragraph" w:styleId="Textedebulles">
    <w:name w:val="Balloon Text"/>
    <w:basedOn w:val="Normal"/>
    <w:link w:val="TextedebullesCar"/>
    <w:uiPriority w:val="99"/>
    <w:semiHidden/>
    <w:unhideWhenUsed/>
    <w:rsid w:val="001D31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31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d41e47be5d5c43f6"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ntTable" Target="fontTable.xml"/><Relationship Id="R2580963449834e5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007C11-B6A6-4EE9-BC3F-257C34DE63C8}">
  <ds:schemaRefs>
    <ds:schemaRef ds:uri="http://purl.org/dc/dcmitype/"/>
    <ds:schemaRef ds:uri="http://schemas.microsoft.com/office/2006/documentManagement/types"/>
    <ds:schemaRef ds:uri="http://purl.org/dc/terms/"/>
    <ds:schemaRef ds:uri="c9f4b70c-db7f-4fd0-9b1d-ebaa300a76cc"/>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BEF1ACA-DE35-4D64-9C2F-EFBC7701E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98A78D-E3B7-4F92-ACF6-5C2D1DD16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1044</Words>
  <Characters>5746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FICHE ACTION TYPE</vt:lpstr>
    </vt:vector>
  </TitlesOfParts>
  <Company>MSS</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5</cp:revision>
  <cp:lastPrinted>2015-06-18T12:19:00Z</cp:lastPrinted>
  <dcterms:created xsi:type="dcterms:W3CDTF">2015-07-10T14:31:00Z</dcterms:created>
  <dcterms:modified xsi:type="dcterms:W3CDTF">2015-07-16T10:25:00Z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caleCrop">
    <vt:bool>false</vt:bool>
  </property>
  <property fmtid="{D5CDD505-2E9C-101B-9397-08002B2CF9AE}" pid="3" name="DocSecurity">
    <vt:r8>0</vt:r8>
  </property>
  <property fmtid="{D5CDD505-2E9C-101B-9397-08002B2CF9AE}" pid="4" name="LinksUpToDate">
    <vt:bool>false</vt:bool>
  </property>
  <property fmtid="{D5CDD505-2E9C-101B-9397-08002B2CF9AE}" pid="5" name="AppVersion">
    <vt:lpwstr>12.0000</vt:lpwstr>
  </property>
  <property fmtid="{D5CDD505-2E9C-101B-9397-08002B2CF9AE}" pid="6" name="ContentTypeId">
    <vt:lpwstr>0x010100FE4D5F1315472C449DC7F3D5453E08EE</vt:lpwstr>
  </property>
  <property fmtid="{D5CDD505-2E9C-101B-9397-08002B2CF9AE}" pid="7" name="ShareDoc">
    <vt:bool>false</vt:bool>
  </property>
  <property fmtid="{D5CDD505-2E9C-101B-9397-08002B2CF9AE}" pid="8" name="Company">
    <vt:lpwstr>Ministère de la Santé</vt:lpwstr>
  </property>
  <property fmtid="{D5CDD505-2E9C-101B-9397-08002B2CF9AE}" pid="9" name="HyperlinksChanged">
    <vt:bool>false</vt:bool>
  </property>
</Properties>
</file>