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4178D" w14:textId="77777777" w:rsidR="00141401" w:rsidRPr="008D57C0" w:rsidRDefault="00806B91"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1.1.</w:t>
      </w:r>
      <w:r w:rsidR="00D86EE0">
        <w:rPr>
          <w:rFonts w:ascii="Verdana" w:hAnsi="Verdana" w:cs="Verdana"/>
          <w:b/>
          <w:bCs/>
          <w:color w:val="17365D" w:themeColor="text2" w:themeShade="BF"/>
          <w:sz w:val="28"/>
          <w:szCs w:val="28"/>
        </w:rPr>
        <w:t>3</w:t>
      </w:r>
    </w:p>
    <w:p w14:paraId="76085AC7" w14:textId="77777777" w:rsidR="008D57C0" w:rsidRDefault="008D57C0" w:rsidP="00827890">
      <w:pPr>
        <w:pStyle w:val="WW-Standard"/>
        <w:spacing w:after="57"/>
        <w:jc w:val="center"/>
        <w:rPr>
          <w:rFonts w:ascii="Verdana" w:hAnsi="Verdana" w:cs="Verdana"/>
          <w:b/>
          <w:bCs/>
          <w:sz w:val="28"/>
          <w:szCs w:val="28"/>
        </w:rPr>
      </w:pPr>
    </w:p>
    <w:p w14:paraId="398F8D56" w14:textId="4B05D5C8" w:rsidR="00611755" w:rsidRPr="00243AF9" w:rsidRDefault="00D86EE0" w:rsidP="00611755">
      <w:pPr>
        <w:pStyle w:val="WW-Standard"/>
        <w:shd w:val="clear" w:color="auto" w:fill="1F497D"/>
        <w:spacing w:after="57"/>
        <w:jc w:val="center"/>
        <w:rPr>
          <w:rFonts w:ascii="Verdana" w:hAnsi="Verdana" w:cs="Verdana"/>
          <w:b/>
          <w:bCs/>
          <w:color w:val="FFFFFF"/>
          <w:sz w:val="28"/>
          <w:szCs w:val="28"/>
        </w:rPr>
      </w:pPr>
      <w:r>
        <w:rPr>
          <w:rFonts w:ascii="Verdana" w:hAnsi="Verdana" w:cs="Verdana"/>
          <w:b/>
          <w:bCs/>
          <w:color w:val="FFFFFF"/>
          <w:sz w:val="28"/>
          <w:szCs w:val="28"/>
        </w:rPr>
        <w:t xml:space="preserve">CONTINUER A DEVELOPER LA MIXITE </w:t>
      </w:r>
      <w:r w:rsidR="00F937AD">
        <w:rPr>
          <w:rFonts w:ascii="Verdana" w:hAnsi="Verdana" w:cs="Verdana"/>
          <w:b/>
          <w:bCs/>
          <w:color w:val="FFFFFF"/>
          <w:sz w:val="28"/>
          <w:szCs w:val="28"/>
        </w:rPr>
        <w:t>D’USAGE</w:t>
      </w:r>
      <w:r w:rsidR="00F937AD">
        <w:rPr>
          <w:rFonts w:ascii="Verdana" w:hAnsi="Verdana" w:cs="Verdana"/>
          <w:b/>
          <w:bCs/>
          <w:color w:val="FFFFFF"/>
          <w:sz w:val="28"/>
          <w:szCs w:val="28"/>
        </w:rPr>
        <w:br/>
      </w:r>
      <w:r>
        <w:rPr>
          <w:rFonts w:ascii="Verdana" w:hAnsi="Verdana" w:cs="Verdana"/>
          <w:b/>
          <w:bCs/>
          <w:color w:val="FFFFFF"/>
          <w:sz w:val="28"/>
          <w:szCs w:val="28"/>
        </w:rPr>
        <w:t>DES EQUIPEMENTS</w:t>
      </w:r>
    </w:p>
    <w:p w14:paraId="532DFE9F"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firstRow="1" w:lastRow="1" w:firstColumn="1" w:lastColumn="1" w:noHBand="0" w:noVBand="0"/>
      </w:tblPr>
      <w:tblGrid>
        <w:gridCol w:w="2700"/>
        <w:gridCol w:w="8175"/>
      </w:tblGrid>
      <w:tr w:rsidR="00611755" w:rsidRPr="00243AF9" w14:paraId="746FFDC7" w14:textId="77777777" w:rsidTr="06C34EF7">
        <w:trPr>
          <w:trHeight w:val="754"/>
        </w:trPr>
        <w:tc>
          <w:tcPr>
            <w:tcW w:w="2700" w:type="dxa"/>
            <w:shd w:val="clear" w:color="auto" w:fill="B8CCE4" w:themeFill="accent1" w:themeFillTint="66"/>
            <w:vAlign w:val="center"/>
          </w:tcPr>
          <w:p w14:paraId="268E068F" w14:textId="77777777"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Pilier</w:t>
            </w:r>
            <w:r w:rsidR="00806B91">
              <w:rPr>
                <w:rFonts w:ascii="Verdana" w:hAnsi="Verdana" w:cs="Verdana"/>
                <w:b/>
                <w:bCs/>
                <w:color w:val="1F497D"/>
                <w:sz w:val="20"/>
                <w:szCs w:val="20"/>
              </w:rPr>
              <w:t xml:space="preserve"> 1</w:t>
            </w:r>
          </w:p>
          <w:p w14:paraId="319E6BE6" w14:textId="77777777" w:rsidR="00611755" w:rsidRDefault="00611755" w:rsidP="00611755">
            <w:pPr>
              <w:pStyle w:val="TableContents"/>
              <w:rPr>
                <w:rFonts w:ascii="Verdana" w:hAnsi="Verdana" w:cs="Verdana"/>
                <w:b/>
                <w:bCs/>
                <w:color w:val="1F497D"/>
                <w:sz w:val="20"/>
                <w:szCs w:val="20"/>
              </w:rPr>
            </w:pPr>
            <w:r>
              <w:rPr>
                <w:rFonts w:ascii="Verdana" w:hAnsi="Verdana" w:cs="Verdana"/>
                <w:b/>
                <w:bCs/>
                <w:color w:val="1F497D"/>
                <w:sz w:val="20"/>
                <w:szCs w:val="20"/>
              </w:rPr>
              <w:t>Axe</w:t>
            </w:r>
            <w:r w:rsidR="00806B91">
              <w:rPr>
                <w:rFonts w:ascii="Verdana" w:hAnsi="Verdana" w:cs="Verdana"/>
                <w:b/>
                <w:bCs/>
                <w:color w:val="1F497D"/>
                <w:sz w:val="20"/>
                <w:szCs w:val="20"/>
              </w:rPr>
              <w:t> 1</w:t>
            </w:r>
          </w:p>
          <w:p w14:paraId="259E2921" w14:textId="77777777" w:rsidR="005F0153" w:rsidRPr="00243AF9" w:rsidRDefault="005F0153" w:rsidP="00611755">
            <w:pPr>
              <w:pStyle w:val="TableContents"/>
              <w:rPr>
                <w:rFonts w:ascii="Verdana" w:hAnsi="Verdana" w:cs="Verdana"/>
                <w:b/>
                <w:bCs/>
                <w:color w:val="1F497D"/>
                <w:sz w:val="20"/>
                <w:szCs w:val="20"/>
              </w:rPr>
            </w:pPr>
          </w:p>
        </w:tc>
        <w:tc>
          <w:tcPr>
            <w:tcW w:w="8175" w:type="dxa"/>
            <w:shd w:val="clear" w:color="auto" w:fill="B8CCE4" w:themeFill="accent1" w:themeFillTint="66"/>
            <w:vAlign w:val="center"/>
          </w:tcPr>
          <w:p w14:paraId="3F9C90E9" w14:textId="77777777" w:rsidR="00611755" w:rsidRPr="005F0153" w:rsidRDefault="00806B91" w:rsidP="00D86EE0">
            <w:pPr>
              <w:pStyle w:val="TableContents"/>
              <w:rPr>
                <w:rFonts w:ascii="Verdana" w:hAnsi="Verdana" w:cs="Verdana"/>
                <w:bCs/>
                <w:i/>
                <w:color w:val="1F497D"/>
                <w:sz w:val="20"/>
                <w:szCs w:val="20"/>
              </w:rPr>
            </w:pPr>
            <w:r>
              <w:rPr>
                <w:rFonts w:ascii="Verdana" w:hAnsi="Verdana" w:cs="Verdana"/>
                <w:b/>
                <w:bCs/>
                <w:color w:val="1F497D"/>
                <w:sz w:val="20"/>
                <w:szCs w:val="20"/>
              </w:rPr>
              <w:t xml:space="preserve">Enjeu : </w:t>
            </w:r>
            <w:r w:rsidR="00D86EE0" w:rsidRPr="00D86EE0">
              <w:rPr>
                <w:rFonts w:ascii="Verdana" w:hAnsi="Verdana" w:cs="Verdana"/>
                <w:b/>
                <w:bCs/>
                <w:color w:val="1F497D"/>
                <w:sz w:val="20"/>
                <w:szCs w:val="20"/>
              </w:rPr>
              <w:t>Favoriser la mixité des habitants dans la fréquentation des équipements et de l’offre de services associée dans les quartiers prioritaire et hors quartiers</w:t>
            </w:r>
          </w:p>
        </w:tc>
      </w:tr>
    </w:tbl>
    <w:p w14:paraId="0767B1E9" w14:textId="77777777" w:rsidR="00611755" w:rsidRPr="00243AF9"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10" w:type="dxa"/>
          <w:right w:w="10" w:type="dxa"/>
        </w:tblCellMar>
        <w:tblLook w:val="0000" w:firstRow="0" w:lastRow="0" w:firstColumn="0" w:lastColumn="0" w:noHBand="0" w:noVBand="0"/>
      </w:tblPr>
      <w:tblGrid>
        <w:gridCol w:w="2631"/>
        <w:gridCol w:w="8223"/>
      </w:tblGrid>
      <w:tr w:rsidR="00611755" w:rsidRPr="00243AF9" w14:paraId="51C64226" w14:textId="77777777" w:rsidTr="06C34EF7">
        <w:trPr>
          <w:trHeight w:val="150"/>
        </w:trPr>
        <w:tc>
          <w:tcPr>
            <w:tcW w:w="2625" w:type="dxa"/>
            <w:shd w:val="clear" w:color="auto" w:fill="B8CCE4" w:themeFill="accent1" w:themeFillTint="66"/>
          </w:tcPr>
          <w:p w14:paraId="3020D970" w14:textId="77777777" w:rsidR="00611755" w:rsidRDefault="00611755" w:rsidP="00611755">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14:paraId="77427474" w14:textId="270D1F0B" w:rsidR="00611755" w:rsidRPr="00611755" w:rsidRDefault="00611755" w:rsidP="00611755">
            <w:pPr>
              <w:pStyle w:val="TableContents"/>
              <w:snapToGrid w:val="0"/>
              <w:spacing w:before="120" w:after="120"/>
              <w:ind w:left="71" w:right="-10"/>
              <w:rPr>
                <w:rFonts w:ascii="Verdana" w:hAnsi="Verdana" w:cs="Verdana"/>
                <w:bCs/>
                <w:i/>
                <w:color w:val="1F497D"/>
                <w:sz w:val="20"/>
                <w:szCs w:val="20"/>
              </w:rPr>
            </w:pPr>
          </w:p>
        </w:tc>
        <w:tc>
          <w:tcPr>
            <w:tcW w:w="8205" w:type="dxa"/>
            <w:shd w:val="clear" w:color="auto" w:fill="B8CCE4" w:themeFill="accent1" w:themeFillTint="66"/>
          </w:tcPr>
          <w:p w14:paraId="18CFB531" w14:textId="7F88FBF3" w:rsidR="00530A01" w:rsidRPr="00E119F2" w:rsidRDefault="06C34EF7" w:rsidP="06C34EF7">
            <w:pPr>
              <w:pStyle w:val="Paragraphedeliste"/>
              <w:widowControl/>
              <w:numPr>
                <w:ilvl w:val="0"/>
                <w:numId w:val="9"/>
              </w:numPr>
              <w:suppressAutoHyphens w:val="0"/>
              <w:spacing w:before="120"/>
              <w:ind w:left="414" w:right="142" w:hanging="357"/>
              <w:contextualSpacing w:val="0"/>
              <w:jc w:val="both"/>
              <w:textAlignment w:val="auto"/>
              <w:rPr>
                <w:rFonts w:ascii="Verdana" w:eastAsia="Verdana" w:hAnsi="Verdana" w:cs="Verdana"/>
                <w:color w:val="1F497D" w:themeColor="text2"/>
                <w:sz w:val="18"/>
                <w:szCs w:val="18"/>
              </w:rPr>
            </w:pPr>
            <w:r w:rsidRPr="06C34EF7">
              <w:rPr>
                <w:rFonts w:ascii="Verdana" w:eastAsia="Verdana" w:hAnsi="Verdana" w:cs="Verdana"/>
                <w:color w:val="1F497D" w:themeColor="text2"/>
                <w:sz w:val="18"/>
                <w:szCs w:val="18"/>
              </w:rPr>
              <w:t xml:space="preserve">La mixité fonctionnelle est un facteur d’animation et d’interaction entre les habitants. En renforçant l’offre de services collectifs, d’activités et d’emplois dans les quartiers, elle contribue en partie à réduire la dépendance à l’égard de l’automobile, frein important pour la mobilité des habitants des quartiers peu motorisés et aux revenus modestes. </w:t>
            </w:r>
          </w:p>
          <w:p w14:paraId="2FF8154D" w14:textId="4C7ACDFE" w:rsidR="00530A01" w:rsidRPr="00E119F2" w:rsidRDefault="06C34EF7" w:rsidP="06C34EF7">
            <w:pPr>
              <w:pStyle w:val="Paragraphedeliste"/>
              <w:widowControl/>
              <w:numPr>
                <w:ilvl w:val="0"/>
                <w:numId w:val="9"/>
              </w:numPr>
              <w:suppressAutoHyphens w:val="0"/>
              <w:spacing w:before="120"/>
              <w:ind w:left="414" w:right="142" w:hanging="357"/>
              <w:contextualSpacing w:val="0"/>
              <w:jc w:val="both"/>
              <w:textAlignment w:val="auto"/>
              <w:rPr>
                <w:rFonts w:ascii="Verdana" w:eastAsia="Verdana" w:hAnsi="Verdana" w:cs="Verdana"/>
                <w:color w:val="1F497D" w:themeColor="text2"/>
                <w:sz w:val="18"/>
                <w:szCs w:val="18"/>
              </w:rPr>
            </w:pPr>
            <w:r w:rsidRPr="06C34EF7">
              <w:rPr>
                <w:rFonts w:ascii="Verdana" w:eastAsia="Verdana" w:hAnsi="Verdana" w:cs="Verdana"/>
                <w:color w:val="1F497D" w:themeColor="text2"/>
                <w:sz w:val="18"/>
                <w:szCs w:val="18"/>
              </w:rPr>
              <w:t xml:space="preserve">La mixité fonctionnelle est également vectrice d’attractivité, lorsque les fonctions introduites permettent de satisfaire un besoin à l’échelle de la ville, de l’agglomération voire au-delà (c’est notamment le cas des équipements sportifs, culturels ou touristiques et des activités économiques de pointe). </w:t>
            </w:r>
          </w:p>
          <w:p w14:paraId="4B7A6D04" w14:textId="046519AD" w:rsidR="0093796F" w:rsidRPr="00E119F2" w:rsidRDefault="00530A01"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sidRPr="00E119F2">
              <w:rPr>
                <w:rFonts w:ascii="Verdana" w:hAnsi="Verdana"/>
                <w:color w:val="1F497D" w:themeColor="text2"/>
                <w:sz w:val="18"/>
                <w:szCs w:val="18"/>
              </w:rPr>
              <w:t>Plusieurs</w:t>
            </w:r>
            <w:r w:rsidR="0093796F" w:rsidRPr="00E119F2">
              <w:rPr>
                <w:rFonts w:ascii="Verdana" w:hAnsi="Verdana"/>
                <w:color w:val="1F497D" w:themeColor="text2"/>
                <w:sz w:val="18"/>
                <w:szCs w:val="18"/>
              </w:rPr>
              <w:t xml:space="preserve"> projets d’implantation ou de restructuration d’équipements publics rayonnant à l’extérieur des quartiers ont permis</w:t>
            </w:r>
            <w:r w:rsidRPr="00E119F2">
              <w:rPr>
                <w:rFonts w:ascii="Verdana" w:hAnsi="Verdana"/>
                <w:color w:val="1F497D" w:themeColor="text2"/>
                <w:sz w:val="18"/>
                <w:szCs w:val="18"/>
              </w:rPr>
              <w:t>, sur la période précédente,</w:t>
            </w:r>
            <w:r w:rsidR="0093796F" w:rsidRPr="00E119F2">
              <w:rPr>
                <w:rFonts w:ascii="Verdana" w:hAnsi="Verdana"/>
                <w:color w:val="1F497D" w:themeColor="text2"/>
                <w:sz w:val="18"/>
                <w:szCs w:val="18"/>
              </w:rPr>
              <w:t xml:space="preserve"> d’accroître la qualité des services publics offerts aux habitants tout en encourageant la fréquentation des quartiers prioritaires par des</w:t>
            </w:r>
            <w:r w:rsidRPr="00E119F2">
              <w:rPr>
                <w:rFonts w:ascii="Verdana" w:hAnsi="Verdana"/>
                <w:color w:val="1F497D" w:themeColor="text2"/>
                <w:sz w:val="18"/>
                <w:szCs w:val="18"/>
              </w:rPr>
              <w:t xml:space="preserve"> usagers résidant à l’extérieur (médiathèque, centre de vie…)</w:t>
            </w:r>
            <w:r w:rsidR="009A7714">
              <w:rPr>
                <w:rFonts w:ascii="Verdana" w:hAnsi="Verdana"/>
                <w:color w:val="1F497D" w:themeColor="text2"/>
                <w:sz w:val="18"/>
                <w:szCs w:val="18"/>
              </w:rPr>
              <w:t>.</w:t>
            </w:r>
          </w:p>
          <w:p w14:paraId="33350020" w14:textId="53263343" w:rsidR="00530A01" w:rsidRPr="00E119F2" w:rsidRDefault="00530A01"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sidRPr="00E119F2">
              <w:rPr>
                <w:rFonts w:ascii="Verdana" w:hAnsi="Verdana"/>
                <w:color w:val="1F497D" w:themeColor="text2"/>
                <w:sz w:val="18"/>
                <w:szCs w:val="18"/>
              </w:rPr>
              <w:t>Sont pointées néanmoins des disparités territoriales entre villes d’une part et entre quartiers d’une même ville d’autre part, sur l’offre d’équipement et leur contribution à cet objectif de mixité fonctionnelle.</w:t>
            </w:r>
          </w:p>
          <w:p w14:paraId="3E86BB25" w14:textId="494545B7" w:rsidR="00611755" w:rsidRPr="00E119F2" w:rsidRDefault="00530A01"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sidRPr="00E119F2">
              <w:rPr>
                <w:rFonts w:ascii="Verdana" w:hAnsi="Verdana"/>
                <w:color w:val="1F497D" w:themeColor="text2"/>
                <w:sz w:val="18"/>
                <w:szCs w:val="18"/>
              </w:rPr>
              <w:t xml:space="preserve">Les besoins </w:t>
            </w:r>
            <w:r w:rsidR="0093796F" w:rsidRPr="00E119F2">
              <w:rPr>
                <w:rFonts w:ascii="Verdana" w:hAnsi="Verdana"/>
                <w:color w:val="1F497D" w:themeColor="text2"/>
                <w:sz w:val="18"/>
                <w:szCs w:val="18"/>
              </w:rPr>
              <w:t xml:space="preserve">à venir </w:t>
            </w:r>
            <w:r w:rsidR="00E119F2" w:rsidRPr="00E119F2">
              <w:rPr>
                <w:rFonts w:ascii="Verdana" w:hAnsi="Verdana"/>
                <w:color w:val="1F497D" w:themeColor="text2"/>
                <w:sz w:val="18"/>
                <w:szCs w:val="18"/>
              </w:rPr>
              <w:t>d’</w:t>
            </w:r>
            <w:r w:rsidR="0093796F" w:rsidRPr="00E119F2">
              <w:rPr>
                <w:rFonts w:ascii="Verdana" w:hAnsi="Verdana"/>
                <w:color w:val="1F497D" w:themeColor="text2"/>
                <w:sz w:val="18"/>
                <w:szCs w:val="18"/>
              </w:rPr>
              <w:t xml:space="preserve">équipements (sport, culturel, recherche, tourisme, nature) et </w:t>
            </w:r>
            <w:r w:rsidRPr="00E119F2">
              <w:rPr>
                <w:rFonts w:ascii="Verdana" w:hAnsi="Verdana"/>
                <w:color w:val="1F497D" w:themeColor="text2"/>
                <w:sz w:val="18"/>
                <w:szCs w:val="18"/>
              </w:rPr>
              <w:t>d’évolution des fonctions et de l’offre de service des équipements existants doi</w:t>
            </w:r>
            <w:r w:rsidR="00E119F2" w:rsidRPr="00E119F2">
              <w:rPr>
                <w:rFonts w:ascii="Verdana" w:hAnsi="Verdana"/>
                <w:color w:val="1F497D" w:themeColor="text2"/>
                <w:sz w:val="18"/>
                <w:szCs w:val="18"/>
              </w:rPr>
              <w:t>ven</w:t>
            </w:r>
            <w:r w:rsidRPr="00E119F2">
              <w:rPr>
                <w:rFonts w:ascii="Verdana" w:hAnsi="Verdana"/>
                <w:color w:val="1F497D" w:themeColor="text2"/>
                <w:sz w:val="18"/>
                <w:szCs w:val="18"/>
              </w:rPr>
              <w:t>t faire l’objet d’une réflexion en continu pour continuer à développer la mixité fonctionnelle et à attirer les pu</w:t>
            </w:r>
            <w:r w:rsidR="00E119F2" w:rsidRPr="00E119F2">
              <w:rPr>
                <w:rFonts w:ascii="Verdana" w:hAnsi="Verdana"/>
                <w:color w:val="1F497D" w:themeColor="text2"/>
                <w:sz w:val="18"/>
                <w:szCs w:val="18"/>
              </w:rPr>
              <w:t>blics divers dans les quartiers, voire à renforcer la fréquentation des équipements hors quartiers par les habitants des quartiers.</w:t>
            </w:r>
          </w:p>
        </w:tc>
      </w:tr>
      <w:tr w:rsidR="00611755" w:rsidRPr="00243AF9" w14:paraId="1FE89633" w14:textId="77777777" w:rsidTr="06C34EF7">
        <w:trPr>
          <w:trHeight w:val="142"/>
        </w:trPr>
        <w:tc>
          <w:tcPr>
            <w:tcW w:w="2625" w:type="dxa"/>
            <w:shd w:val="clear" w:color="auto" w:fill="B8CCE4" w:themeFill="accent1" w:themeFillTint="66"/>
          </w:tcPr>
          <w:p w14:paraId="3DE47F20"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14:paraId="1A194FF1" w14:textId="13B8792B" w:rsidR="00611755" w:rsidRPr="008D57C0" w:rsidRDefault="00611755" w:rsidP="008D57C0">
            <w:pPr>
              <w:pStyle w:val="TableContents"/>
              <w:autoSpaceDN w:val="0"/>
              <w:spacing w:before="120" w:after="120"/>
              <w:jc w:val="both"/>
              <w:rPr>
                <w:rFonts w:ascii="Verdana" w:hAnsi="Verdana" w:cs="Arial"/>
                <w:i/>
                <w:color w:val="1F497D"/>
                <w:sz w:val="16"/>
                <w:szCs w:val="20"/>
              </w:rPr>
            </w:pPr>
          </w:p>
        </w:tc>
        <w:tc>
          <w:tcPr>
            <w:tcW w:w="8205" w:type="dxa"/>
            <w:shd w:val="clear" w:color="auto" w:fill="B8CCE4" w:themeFill="accent1" w:themeFillTint="66"/>
          </w:tcPr>
          <w:p w14:paraId="019051EE" w14:textId="43FA5FD3" w:rsidR="00E119F2" w:rsidRPr="00E119F2" w:rsidRDefault="00E119F2"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sidRPr="00E119F2">
              <w:rPr>
                <w:rFonts w:ascii="Verdana" w:hAnsi="Verdana"/>
                <w:color w:val="1F497D" w:themeColor="text2"/>
                <w:sz w:val="18"/>
                <w:szCs w:val="18"/>
              </w:rPr>
              <w:t xml:space="preserve">Développer </w:t>
            </w:r>
            <w:r>
              <w:rPr>
                <w:rFonts w:ascii="Verdana" w:hAnsi="Verdana"/>
                <w:color w:val="1F497D" w:themeColor="text2"/>
                <w:sz w:val="18"/>
                <w:szCs w:val="18"/>
              </w:rPr>
              <w:t xml:space="preserve">en fonction des besoins, y compris dans les quartiers moins dotés aujourd’hui, </w:t>
            </w:r>
            <w:r w:rsidRPr="00E119F2">
              <w:rPr>
                <w:rFonts w:ascii="Verdana" w:hAnsi="Verdana"/>
                <w:color w:val="1F497D" w:themeColor="text2"/>
                <w:sz w:val="18"/>
                <w:szCs w:val="18"/>
              </w:rPr>
              <w:t xml:space="preserve">des équipements ou des offres de services dans les équipements existants </w:t>
            </w:r>
            <w:r>
              <w:rPr>
                <w:rFonts w:ascii="Verdana" w:hAnsi="Verdana"/>
                <w:color w:val="1F497D" w:themeColor="text2"/>
                <w:sz w:val="18"/>
                <w:szCs w:val="18"/>
              </w:rPr>
              <w:t>qui favorisent la fréquentation des quartiers par des usagers résidant à l’extérieur</w:t>
            </w:r>
          </w:p>
          <w:p w14:paraId="77060F85" w14:textId="77777777" w:rsidR="00E119F2" w:rsidRPr="00E119F2" w:rsidRDefault="00E119F2"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s="Arial"/>
                <w:color w:val="1F497D"/>
                <w:sz w:val="20"/>
                <w:szCs w:val="20"/>
              </w:rPr>
            </w:pPr>
            <w:r>
              <w:rPr>
                <w:rFonts w:ascii="Verdana" w:hAnsi="Verdana"/>
                <w:color w:val="1F497D" w:themeColor="text2"/>
                <w:sz w:val="18"/>
                <w:szCs w:val="18"/>
              </w:rPr>
              <w:t xml:space="preserve">Favoriser la fréquentation des équipements hors quartiers par les habitants des quartiers </w:t>
            </w:r>
          </w:p>
          <w:p w14:paraId="5821B34E" w14:textId="228B16D9" w:rsidR="00611755" w:rsidRPr="00E119F2" w:rsidRDefault="00E119F2"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s="Arial"/>
                <w:color w:val="1F497D"/>
                <w:sz w:val="20"/>
                <w:szCs w:val="20"/>
              </w:rPr>
            </w:pPr>
            <w:r>
              <w:rPr>
                <w:rFonts w:ascii="Verdana" w:hAnsi="Verdana"/>
                <w:color w:val="1F497D" w:themeColor="text2"/>
                <w:sz w:val="18"/>
                <w:szCs w:val="18"/>
              </w:rPr>
              <w:t>Encourager la mobilisation des équipements des quartiers par les associations, les écoles, les acteurs en lien avec des enfants ou des personnes ne résidant pas dans les quartiers</w:t>
            </w:r>
          </w:p>
        </w:tc>
      </w:tr>
      <w:tr w:rsidR="00611755" w:rsidRPr="00243AF9" w14:paraId="6FD44D28" w14:textId="77777777" w:rsidTr="06C34EF7">
        <w:trPr>
          <w:trHeight w:val="170"/>
        </w:trPr>
        <w:tc>
          <w:tcPr>
            <w:tcW w:w="2625" w:type="dxa"/>
            <w:shd w:val="clear" w:color="auto" w:fill="B8CCE4" w:themeFill="accent1" w:themeFillTint="66"/>
          </w:tcPr>
          <w:p w14:paraId="38D6D45B" w14:textId="77777777"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14:paraId="249D78E2" w14:textId="7C3EE3DC" w:rsidR="00611755" w:rsidRPr="005F0153" w:rsidRDefault="00611755" w:rsidP="005F0153">
            <w:pPr>
              <w:pStyle w:val="TableContents"/>
              <w:spacing w:before="120" w:after="120"/>
              <w:ind w:left="71" w:right="-10"/>
              <w:rPr>
                <w:rFonts w:ascii="Verdana" w:hAnsi="Verdana" w:cs="Verdana"/>
                <w:b/>
                <w:bCs/>
                <w:color w:val="1F497D"/>
                <w:sz w:val="20"/>
                <w:szCs w:val="20"/>
              </w:rPr>
            </w:pPr>
          </w:p>
        </w:tc>
        <w:tc>
          <w:tcPr>
            <w:tcW w:w="8205" w:type="dxa"/>
            <w:shd w:val="clear" w:color="auto" w:fill="B8CCE4" w:themeFill="accent1" w:themeFillTint="66"/>
          </w:tcPr>
          <w:p w14:paraId="2255DC0A" w14:textId="28F39107" w:rsidR="00A21FEB" w:rsidRDefault="00A21FEB"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Analyse des besoins par quartier</w:t>
            </w:r>
          </w:p>
          <w:p w14:paraId="3B82BD8C" w14:textId="3596B061" w:rsidR="00E119F2" w:rsidRPr="00E119F2" w:rsidRDefault="00A21FEB"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Création d’offres de service nouvelles, voire d’équipement</w:t>
            </w:r>
            <w:r w:rsidR="009A7714">
              <w:rPr>
                <w:rFonts w:ascii="Verdana" w:hAnsi="Verdana"/>
                <w:color w:val="1F497D" w:themeColor="text2"/>
                <w:sz w:val="18"/>
                <w:szCs w:val="18"/>
              </w:rPr>
              <w:t>s</w:t>
            </w:r>
            <w:r>
              <w:rPr>
                <w:rFonts w:ascii="Verdana" w:hAnsi="Verdana"/>
                <w:color w:val="1F497D" w:themeColor="text2"/>
                <w:sz w:val="18"/>
                <w:szCs w:val="18"/>
              </w:rPr>
              <w:t xml:space="preserve"> favorisant la mixité fonctionnelle, notamment dans les quartiers les moins dotés</w:t>
            </w:r>
          </w:p>
          <w:p w14:paraId="48333710" w14:textId="2DCD4AE3" w:rsidR="00A21FEB" w:rsidRPr="00A21FEB" w:rsidRDefault="00A21FEB" w:rsidP="06C34EF7">
            <w:pPr>
              <w:pStyle w:val="Paragraphedeliste"/>
              <w:widowControl/>
              <w:numPr>
                <w:ilvl w:val="0"/>
                <w:numId w:val="9"/>
              </w:numPr>
              <w:suppressAutoHyphens w:val="0"/>
              <w:spacing w:before="120"/>
              <w:ind w:left="414" w:right="142" w:hanging="357"/>
              <w:contextualSpacing w:val="0"/>
              <w:jc w:val="both"/>
              <w:textAlignment w:val="auto"/>
              <w:rPr>
                <w:rFonts w:ascii="Verdana" w:eastAsia="Verdana" w:hAnsi="Verdana" w:cs="Verdana"/>
                <w:color w:val="1F497D" w:themeColor="text2"/>
                <w:sz w:val="18"/>
                <w:szCs w:val="18"/>
              </w:rPr>
            </w:pPr>
            <w:r w:rsidRPr="00AA3D38">
              <w:rPr>
                <w:rFonts w:ascii="Verdana" w:hAnsi="Verdana"/>
                <w:color w:val="1F497D" w:themeColor="text2"/>
                <w:sz w:val="18"/>
                <w:szCs w:val="18"/>
              </w:rPr>
              <w:t xml:space="preserve">Ouverture ou renforcement de l'ouverture des équipements hors quartiers aux associations, écoles, acteurs intervenant dans les quartiers et inversement ouverture des équipements des quartiers aux associations, écoles, et acteurs intervenant hors des quartiers : horaires, offre de service, </w:t>
            </w:r>
            <w:proofErr w:type="spellStart"/>
            <w:r w:rsidRPr="00AA3D38">
              <w:rPr>
                <w:rFonts w:ascii="Verdana" w:hAnsi="Verdana"/>
                <w:color w:val="1F497D" w:themeColor="text2"/>
                <w:sz w:val="18"/>
                <w:szCs w:val="18"/>
              </w:rPr>
              <w:t>co-réalisations</w:t>
            </w:r>
            <w:proofErr w:type="spellEnd"/>
            <w:r w:rsidRPr="06C34EF7">
              <w:rPr>
                <w:rFonts w:ascii="Verdana" w:eastAsia="Verdana" w:hAnsi="Verdana" w:cs="Verdana"/>
                <w:color w:val="1F497D" w:themeColor="text2"/>
                <w:sz w:val="18"/>
                <w:szCs w:val="18"/>
              </w:rPr>
              <w:t xml:space="preserve"> d’actions…</w:t>
            </w:r>
          </w:p>
        </w:tc>
      </w:tr>
      <w:tr w:rsidR="00611755" w:rsidRPr="00243AF9" w14:paraId="74079811" w14:textId="77777777" w:rsidTr="06C34EF7">
        <w:tc>
          <w:tcPr>
            <w:tcW w:w="2625" w:type="dxa"/>
            <w:shd w:val="clear" w:color="auto" w:fill="B8CCE4" w:themeFill="accent1" w:themeFillTint="66"/>
          </w:tcPr>
          <w:p w14:paraId="3EA0EA66" w14:textId="1F72AB4A" w:rsidR="005F0153"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14:paraId="3E4D1010" w14:textId="59A07895" w:rsidR="00611755" w:rsidRPr="00611755" w:rsidRDefault="00611755" w:rsidP="005F0153">
            <w:pPr>
              <w:pStyle w:val="TableContents"/>
              <w:spacing w:before="120" w:after="120"/>
              <w:ind w:left="71" w:right="-10"/>
              <w:rPr>
                <w:rFonts w:ascii="Verdana" w:hAnsi="Verdana" w:cs="Verdana"/>
                <w:bCs/>
                <w:i/>
                <w:color w:val="1F497D"/>
                <w:sz w:val="20"/>
                <w:szCs w:val="20"/>
              </w:rPr>
            </w:pPr>
          </w:p>
        </w:tc>
        <w:tc>
          <w:tcPr>
            <w:tcW w:w="8205" w:type="dxa"/>
            <w:shd w:val="clear" w:color="auto" w:fill="B8CCE4" w:themeFill="accent1" w:themeFillTint="66"/>
          </w:tcPr>
          <w:p w14:paraId="011EA74A" w14:textId="77777777" w:rsidR="00611755" w:rsidRDefault="00A21FEB" w:rsidP="00E119F2">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Fréquentation mixte quartiers/ hors quartiers des équipements des quartiers d’une part, des équipements hors quartiers d’autre part.</w:t>
            </w:r>
          </w:p>
          <w:p w14:paraId="2D6E1AD1" w14:textId="45950647" w:rsidR="00A21FEB" w:rsidRPr="00A21FEB" w:rsidRDefault="00A21FEB" w:rsidP="00A21FEB">
            <w:pPr>
              <w:widowControl/>
              <w:suppressAutoHyphens w:val="0"/>
              <w:spacing w:before="120"/>
              <w:ind w:right="142"/>
              <w:jc w:val="both"/>
              <w:textAlignment w:val="auto"/>
              <w:rPr>
                <w:rFonts w:ascii="Verdana" w:hAnsi="Verdana"/>
                <w:color w:val="1F497D" w:themeColor="text2"/>
                <w:sz w:val="18"/>
                <w:szCs w:val="18"/>
              </w:rPr>
            </w:pPr>
          </w:p>
        </w:tc>
      </w:tr>
      <w:tr w:rsidR="00611755" w:rsidRPr="00243AF9" w14:paraId="4A52DB73" w14:textId="77777777" w:rsidTr="06C34EF7">
        <w:tc>
          <w:tcPr>
            <w:tcW w:w="2625" w:type="dxa"/>
            <w:shd w:val="clear" w:color="auto" w:fill="B8CCE4" w:themeFill="accent1" w:themeFillTint="66"/>
          </w:tcPr>
          <w:p w14:paraId="6261C3B4" w14:textId="77777777" w:rsidR="00611755" w:rsidRDefault="00611755" w:rsidP="00611755">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w:t>
            </w:r>
            <w:r>
              <w:rPr>
                <w:rFonts w:ascii="Verdana" w:hAnsi="Verdana" w:cs="Verdana"/>
                <w:b/>
                <w:bCs/>
                <w:color w:val="1F497D"/>
                <w:sz w:val="20"/>
                <w:szCs w:val="20"/>
              </w:rPr>
              <w:t>Territoriale</w:t>
            </w:r>
          </w:p>
          <w:p w14:paraId="5B9DB039" w14:textId="39890C0F" w:rsidR="00611755" w:rsidRPr="00611755" w:rsidRDefault="00611755" w:rsidP="00611755">
            <w:pPr>
              <w:pStyle w:val="TableContents"/>
              <w:spacing w:before="120" w:after="120"/>
              <w:ind w:left="71" w:right="-10"/>
              <w:rPr>
                <w:rFonts w:ascii="Verdana" w:hAnsi="Verdana" w:cs="Verdana"/>
                <w:bCs/>
                <w:i/>
                <w:color w:val="1F497D"/>
                <w:sz w:val="20"/>
                <w:szCs w:val="20"/>
              </w:rPr>
            </w:pPr>
          </w:p>
        </w:tc>
        <w:tc>
          <w:tcPr>
            <w:tcW w:w="8205" w:type="dxa"/>
            <w:shd w:val="clear" w:color="auto" w:fill="B8CCE4" w:themeFill="accent1" w:themeFillTint="66"/>
          </w:tcPr>
          <w:p w14:paraId="4B7E60C2" w14:textId="59A10B04" w:rsidR="00611755" w:rsidRPr="00A21FEB" w:rsidRDefault="06C34EF7" w:rsidP="06C34EF7">
            <w:pPr>
              <w:pStyle w:val="Paragraphedeliste"/>
              <w:widowControl/>
              <w:numPr>
                <w:ilvl w:val="0"/>
                <w:numId w:val="9"/>
              </w:numPr>
              <w:suppressAutoHyphens w:val="0"/>
              <w:spacing w:before="120"/>
              <w:ind w:left="414" w:right="142" w:hanging="357"/>
              <w:contextualSpacing w:val="0"/>
              <w:jc w:val="both"/>
              <w:textAlignment w:val="auto"/>
              <w:rPr>
                <w:rFonts w:ascii="Verdana,Arial" w:eastAsia="Verdana,Arial" w:hAnsi="Verdana,Arial" w:cs="Verdana,Arial"/>
                <w:color w:val="1F497D"/>
                <w:sz w:val="18"/>
                <w:szCs w:val="18"/>
              </w:rPr>
            </w:pPr>
            <w:r w:rsidRPr="00AA3D38">
              <w:rPr>
                <w:rFonts w:ascii="Verdana" w:hAnsi="Verdana"/>
                <w:color w:val="1F497D" w:themeColor="text2"/>
                <w:sz w:val="18"/>
                <w:szCs w:val="18"/>
              </w:rPr>
              <w:t>Quartiers à cibler a posteriori d’une analyse de besoin plus précise</w:t>
            </w:r>
          </w:p>
        </w:tc>
      </w:tr>
      <w:tr w:rsidR="00611755" w:rsidRPr="00243AF9" w14:paraId="23ABA45E" w14:textId="77777777" w:rsidTr="06C34EF7">
        <w:tc>
          <w:tcPr>
            <w:tcW w:w="2625" w:type="dxa"/>
            <w:shd w:val="clear" w:color="auto" w:fill="B8CCE4" w:themeFill="accent1" w:themeFillTint="66"/>
          </w:tcPr>
          <w:p w14:paraId="5AAD5362" w14:textId="59EA06FC" w:rsidR="00611755" w:rsidRPr="00611755" w:rsidRDefault="00D87FB9" w:rsidP="00AA3D38">
            <w:pPr>
              <w:pStyle w:val="TableContents"/>
              <w:spacing w:before="120" w:after="120"/>
              <w:ind w:left="71" w:right="-10"/>
              <w:rPr>
                <w:rFonts w:ascii="Verdana" w:hAnsi="Verdana" w:cs="Verdana"/>
                <w:bCs/>
                <w:i/>
                <w:color w:val="1F497D"/>
                <w:sz w:val="20"/>
                <w:szCs w:val="20"/>
              </w:rPr>
            </w:pPr>
            <w:r>
              <w:rPr>
                <w:rFonts w:ascii="Verdana" w:hAnsi="Verdana" w:cs="Verdana"/>
                <w:b/>
                <w:bCs/>
                <w:color w:val="1F497D"/>
                <w:sz w:val="20"/>
                <w:szCs w:val="20"/>
              </w:rPr>
              <w:t>Animateur</w:t>
            </w:r>
          </w:p>
        </w:tc>
        <w:tc>
          <w:tcPr>
            <w:tcW w:w="8205" w:type="dxa"/>
            <w:shd w:val="clear" w:color="auto" w:fill="B8CCE4" w:themeFill="accent1" w:themeFillTint="66"/>
          </w:tcPr>
          <w:p w14:paraId="4664CA24" w14:textId="3DF14D33" w:rsidR="00611755" w:rsidRPr="00243AF9" w:rsidRDefault="06C34EF7" w:rsidP="00147497">
            <w:pPr>
              <w:pStyle w:val="Paragraphedeliste"/>
              <w:widowControl/>
              <w:suppressAutoHyphens w:val="0"/>
              <w:spacing w:before="120"/>
              <w:ind w:left="414" w:right="142"/>
              <w:contextualSpacing w:val="0"/>
              <w:jc w:val="both"/>
              <w:textAlignment w:val="auto"/>
              <w:rPr>
                <w:rFonts w:ascii="Verdana,Arial" w:eastAsia="Verdana,Arial" w:hAnsi="Verdana,Arial" w:cs="Verdana,Arial"/>
                <w:color w:val="E36C0A" w:themeColor="accent6" w:themeShade="BF"/>
                <w:sz w:val="20"/>
                <w:szCs w:val="20"/>
              </w:rPr>
            </w:pPr>
            <w:bookmarkStart w:id="0" w:name="_GoBack"/>
            <w:bookmarkEnd w:id="0"/>
            <w:r w:rsidRPr="00AA3D38">
              <w:rPr>
                <w:rFonts w:ascii="Verdana" w:hAnsi="Verdana"/>
                <w:color w:val="1F497D" w:themeColor="text2"/>
                <w:sz w:val="18"/>
                <w:szCs w:val="18"/>
              </w:rPr>
              <w:t xml:space="preserve">Tour(s)plus en lien avec les villes </w:t>
            </w:r>
          </w:p>
        </w:tc>
      </w:tr>
      <w:tr w:rsidR="00611755" w:rsidRPr="00243AF9" w14:paraId="7A868842" w14:textId="77777777" w:rsidTr="06C34EF7">
        <w:trPr>
          <w:trHeight w:val="95"/>
        </w:trPr>
        <w:tc>
          <w:tcPr>
            <w:tcW w:w="2625" w:type="dxa"/>
            <w:shd w:val="clear" w:color="auto" w:fill="B8CCE4" w:themeFill="accent1" w:themeFillTint="66"/>
          </w:tcPr>
          <w:p w14:paraId="0ACD6319" w14:textId="77777777"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14:paraId="5BA66184" w14:textId="0F30CC4A" w:rsidR="00611755" w:rsidRPr="00AA3D38" w:rsidRDefault="00611755" w:rsidP="00AA3D38">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tc>
        <w:tc>
          <w:tcPr>
            <w:tcW w:w="8205" w:type="dxa"/>
            <w:shd w:val="clear" w:color="auto" w:fill="B8CCE4" w:themeFill="accent1" w:themeFillTint="66"/>
          </w:tcPr>
          <w:p w14:paraId="2C545B16" w14:textId="77777777" w:rsidR="00611755" w:rsidRDefault="009A7714"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Villes</w:t>
            </w:r>
          </w:p>
          <w:p w14:paraId="17751D94" w14:textId="77777777" w:rsidR="009A7714" w:rsidRDefault="009A7714"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Responsables d’équipements (quartiers prioritaires et hors quartiers prioritaires)</w:t>
            </w:r>
          </w:p>
          <w:p w14:paraId="02FC7E07" w14:textId="77777777" w:rsidR="009A7714" w:rsidRDefault="009A7714"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Associations</w:t>
            </w:r>
          </w:p>
          <w:p w14:paraId="18F7EE88" w14:textId="3B52F0B1" w:rsidR="009A7714" w:rsidRPr="00A21FEB" w:rsidRDefault="009A7714"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Habitants</w:t>
            </w:r>
          </w:p>
        </w:tc>
      </w:tr>
      <w:tr w:rsidR="00611755" w:rsidRPr="00243AF9" w14:paraId="4D95972E" w14:textId="77777777" w:rsidTr="06C34EF7">
        <w:tc>
          <w:tcPr>
            <w:tcW w:w="2625" w:type="dxa"/>
            <w:shd w:val="clear" w:color="auto" w:fill="B8CCE4" w:themeFill="accent1" w:themeFillTint="66"/>
          </w:tcPr>
          <w:p w14:paraId="1626364D" w14:textId="2B7B7C0E" w:rsidR="00611755"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p w14:paraId="52FDF838" w14:textId="5E19F378" w:rsidR="00611755" w:rsidRPr="00243AF9" w:rsidRDefault="00611755" w:rsidP="00611755">
            <w:pPr>
              <w:pStyle w:val="TableContents"/>
              <w:spacing w:before="120" w:after="120"/>
              <w:ind w:left="71" w:right="-10"/>
              <w:rPr>
                <w:rFonts w:ascii="Verdana" w:hAnsi="Verdana" w:cs="Verdana"/>
                <w:b/>
                <w:bCs/>
                <w:color w:val="1F497D"/>
                <w:sz w:val="20"/>
                <w:szCs w:val="20"/>
              </w:rPr>
            </w:pPr>
          </w:p>
        </w:tc>
        <w:tc>
          <w:tcPr>
            <w:tcW w:w="8205" w:type="dxa"/>
            <w:shd w:val="clear" w:color="auto" w:fill="B8CCE4" w:themeFill="accent1" w:themeFillTint="66"/>
          </w:tcPr>
          <w:p w14:paraId="74286AC9" w14:textId="77777777" w:rsidR="00611755" w:rsidRPr="00A21FEB" w:rsidRDefault="00611755" w:rsidP="00AA3D38">
            <w:pPr>
              <w:pStyle w:val="Paragraphedeliste"/>
              <w:widowControl/>
              <w:suppressAutoHyphens w:val="0"/>
              <w:spacing w:before="120"/>
              <w:ind w:left="414" w:right="142"/>
              <w:contextualSpacing w:val="0"/>
              <w:jc w:val="both"/>
              <w:textAlignment w:val="auto"/>
              <w:rPr>
                <w:rFonts w:ascii="Verdana" w:hAnsi="Verdana"/>
                <w:color w:val="1F497D" w:themeColor="text2"/>
                <w:sz w:val="18"/>
                <w:szCs w:val="18"/>
              </w:rPr>
            </w:pPr>
          </w:p>
        </w:tc>
      </w:tr>
      <w:tr w:rsidR="00611755" w:rsidRPr="00243AF9" w14:paraId="521671FD" w14:textId="77777777" w:rsidTr="06C34EF7">
        <w:trPr>
          <w:trHeight w:val="272"/>
        </w:trPr>
        <w:tc>
          <w:tcPr>
            <w:tcW w:w="2625" w:type="dxa"/>
            <w:shd w:val="clear" w:color="auto" w:fill="B8CCE4" w:themeFill="accent1" w:themeFillTint="66"/>
          </w:tcPr>
          <w:p w14:paraId="6605AA26" w14:textId="6402B9F9" w:rsidR="00611755" w:rsidRPr="00AA3D38" w:rsidRDefault="00611755" w:rsidP="00AA3D38">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tc>
        <w:tc>
          <w:tcPr>
            <w:tcW w:w="8205" w:type="dxa"/>
            <w:shd w:val="clear" w:color="auto" w:fill="B8CCE4" w:themeFill="accent1" w:themeFillTint="66"/>
          </w:tcPr>
          <w:p w14:paraId="025D5870" w14:textId="12847EE3" w:rsidR="00611755" w:rsidRPr="00A21FEB" w:rsidRDefault="06C34EF7" w:rsidP="06C34EF7">
            <w:pPr>
              <w:pStyle w:val="Paragraphedeliste"/>
              <w:widowControl/>
              <w:numPr>
                <w:ilvl w:val="0"/>
                <w:numId w:val="9"/>
              </w:numPr>
              <w:suppressAutoHyphens w:val="0"/>
              <w:spacing w:before="120"/>
              <w:ind w:left="414" w:right="142" w:hanging="357"/>
              <w:contextualSpacing w:val="0"/>
              <w:jc w:val="both"/>
              <w:textAlignment w:val="auto"/>
              <w:rPr>
                <w:rFonts w:ascii="Verdana" w:eastAsia="Verdana" w:hAnsi="Verdana" w:cs="Verdana"/>
                <w:color w:val="1F497D" w:themeColor="text2"/>
                <w:sz w:val="18"/>
                <w:szCs w:val="18"/>
              </w:rPr>
            </w:pPr>
            <w:r w:rsidRPr="06C34EF7">
              <w:rPr>
                <w:rFonts w:ascii="Verdana" w:eastAsia="Verdana" w:hAnsi="Verdana" w:cs="Verdana"/>
                <w:color w:val="1F497D" w:themeColor="text2"/>
                <w:sz w:val="18"/>
                <w:szCs w:val="18"/>
              </w:rPr>
              <w:t>en continu</w:t>
            </w:r>
          </w:p>
        </w:tc>
      </w:tr>
      <w:tr w:rsidR="005F0153" w:rsidRPr="00243AF9" w14:paraId="35DEA1B8" w14:textId="77777777" w:rsidTr="06C34EF7">
        <w:tc>
          <w:tcPr>
            <w:tcW w:w="2625" w:type="dxa"/>
            <w:shd w:val="clear" w:color="auto" w:fill="B8CCE4" w:themeFill="accent1" w:themeFillTint="66"/>
          </w:tcPr>
          <w:p w14:paraId="5C94DC06" w14:textId="0880A244" w:rsidR="005F0153" w:rsidRDefault="009A7714" w:rsidP="00AA3D38">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w:t>
            </w:r>
            <w:r w:rsidR="005F0153">
              <w:rPr>
                <w:rFonts w:ascii="Verdana" w:hAnsi="Verdana" w:cs="Verdana"/>
                <w:b/>
                <w:bCs/>
                <w:color w:val="1F497D"/>
                <w:sz w:val="20"/>
                <w:szCs w:val="20"/>
              </w:rPr>
              <w:t>ndicateurs de réalisation</w:t>
            </w:r>
          </w:p>
        </w:tc>
        <w:tc>
          <w:tcPr>
            <w:tcW w:w="8205" w:type="dxa"/>
            <w:shd w:val="clear" w:color="auto" w:fill="B8CCE4" w:themeFill="accent1" w:themeFillTint="66"/>
          </w:tcPr>
          <w:p w14:paraId="13BDA8DB" w14:textId="6E03858A" w:rsidR="00A21FEB" w:rsidRDefault="00A21FEB"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Analyse de besoins par quartier</w:t>
            </w:r>
          </w:p>
          <w:p w14:paraId="37BEABC6" w14:textId="4B082D46" w:rsidR="005F0153" w:rsidRDefault="00A21FEB"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Offres de services nouvelles et/ou équipements nouveaux favorisant la mixité fonctionnelle</w:t>
            </w:r>
          </w:p>
          <w:p w14:paraId="55C9B2D6" w14:textId="2F9C97B4" w:rsidR="00A21FEB" w:rsidRPr="00A21FEB" w:rsidRDefault="00A21FEB"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Nombre d’interventions dans des équipements des quartiers/ hors quartiers avec des groupes d’habitants hors quartiers/ des quartiers</w:t>
            </w:r>
          </w:p>
        </w:tc>
      </w:tr>
      <w:tr w:rsidR="00D87FB9" w:rsidRPr="00243AF9" w14:paraId="5023AA1E" w14:textId="77777777" w:rsidTr="06C34EF7">
        <w:tc>
          <w:tcPr>
            <w:tcW w:w="2625" w:type="dxa"/>
            <w:shd w:val="clear" w:color="auto" w:fill="B8CCE4" w:themeFill="accent1" w:themeFillTint="66"/>
          </w:tcPr>
          <w:p w14:paraId="38EEF1DA" w14:textId="28D0A572" w:rsidR="00D87FB9" w:rsidRDefault="00D87FB9" w:rsidP="00D87FB9">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14:paraId="41C10226" w14:textId="49DDB809" w:rsidR="00D87FB9" w:rsidRDefault="00D87FB9" w:rsidP="00AA3D38">
            <w:pPr>
              <w:pStyle w:val="TableContents"/>
              <w:spacing w:before="120" w:after="120"/>
              <w:ind w:right="-10"/>
              <w:rPr>
                <w:rFonts w:ascii="Verdana" w:hAnsi="Verdana" w:cs="Verdana"/>
                <w:b/>
                <w:bCs/>
                <w:color w:val="1F497D"/>
                <w:sz w:val="20"/>
                <w:szCs w:val="20"/>
              </w:rPr>
            </w:pPr>
          </w:p>
        </w:tc>
        <w:tc>
          <w:tcPr>
            <w:tcW w:w="8205" w:type="dxa"/>
            <w:shd w:val="clear" w:color="auto" w:fill="B8CCE4" w:themeFill="accent1" w:themeFillTint="66"/>
          </w:tcPr>
          <w:p w14:paraId="247C505C" w14:textId="25E90DA2" w:rsidR="00D87FB9" w:rsidRPr="00A21FEB" w:rsidRDefault="00A21FEB"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olor w:val="1F497D" w:themeColor="text2"/>
                <w:sz w:val="18"/>
                <w:szCs w:val="18"/>
              </w:rPr>
            </w:pPr>
            <w:r>
              <w:rPr>
                <w:rFonts w:ascii="Verdana" w:hAnsi="Verdana"/>
                <w:color w:val="1F497D" w:themeColor="text2"/>
                <w:sz w:val="18"/>
                <w:szCs w:val="18"/>
              </w:rPr>
              <w:t>Mixité de la fréquentation des équipements</w:t>
            </w:r>
          </w:p>
        </w:tc>
      </w:tr>
      <w:tr w:rsidR="00611755" w:rsidRPr="00243AF9" w14:paraId="13D31163" w14:textId="77777777" w:rsidTr="06C34EF7">
        <w:tc>
          <w:tcPr>
            <w:tcW w:w="2625" w:type="dxa"/>
            <w:shd w:val="clear" w:color="auto" w:fill="B8CCE4" w:themeFill="accent1" w:themeFillTint="66"/>
          </w:tcPr>
          <w:p w14:paraId="034232CB" w14:textId="77777777" w:rsidR="00611755" w:rsidRPr="00243AF9" w:rsidRDefault="00611755" w:rsidP="00611755">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p>
        </w:tc>
        <w:tc>
          <w:tcPr>
            <w:tcW w:w="8205" w:type="dxa"/>
            <w:shd w:val="clear" w:color="auto" w:fill="B8CCE4" w:themeFill="accent1" w:themeFillTint="66"/>
          </w:tcPr>
          <w:p w14:paraId="1DA34CD2" w14:textId="77777777" w:rsidR="0093796F" w:rsidRPr="00A21FEB" w:rsidRDefault="0093796F" w:rsidP="00A21FEB">
            <w:pPr>
              <w:pStyle w:val="Paragraphedeliste"/>
              <w:widowControl/>
              <w:numPr>
                <w:ilvl w:val="0"/>
                <w:numId w:val="9"/>
              </w:numPr>
              <w:suppressAutoHyphens w:val="0"/>
              <w:spacing w:before="120"/>
              <w:ind w:left="414" w:right="142" w:hanging="357"/>
              <w:contextualSpacing w:val="0"/>
              <w:jc w:val="both"/>
              <w:textAlignment w:val="auto"/>
              <w:rPr>
                <w:rFonts w:ascii="Verdana" w:hAnsi="Verdana" w:cs="Arial"/>
                <w:color w:val="1F497D"/>
                <w:sz w:val="18"/>
                <w:szCs w:val="18"/>
              </w:rPr>
            </w:pPr>
            <w:r w:rsidRPr="00A21FEB">
              <w:rPr>
                <w:rFonts w:ascii="Verdana" w:hAnsi="Verdana" w:cs="Arial"/>
                <w:color w:val="1F497D"/>
                <w:sz w:val="18"/>
                <w:szCs w:val="18"/>
              </w:rPr>
              <w:t>Enjeu 2.1.1. Renouveler la ville et diversifier ses fonctions à partir d’une stratégie d’intervention à décliner aux échelles de l’agglomération, des villes et des quartiers prioritaires</w:t>
            </w:r>
          </w:p>
          <w:p w14:paraId="1CC6DB2D" w14:textId="77777777" w:rsidR="00611755" w:rsidRDefault="00611755" w:rsidP="00E119F2">
            <w:pPr>
              <w:spacing w:before="120"/>
              <w:jc w:val="both"/>
              <w:rPr>
                <w:rFonts w:ascii="Verdana" w:hAnsi="Verdana" w:cs="Arial"/>
                <w:color w:val="1F497D"/>
                <w:sz w:val="20"/>
                <w:szCs w:val="20"/>
              </w:rPr>
            </w:pPr>
          </w:p>
        </w:tc>
      </w:tr>
    </w:tbl>
    <w:p w14:paraId="234EB3BF" w14:textId="77777777" w:rsidR="008D0202" w:rsidRDefault="008D0202">
      <w:pPr>
        <w:widowControl/>
        <w:suppressAutoHyphens w:val="0"/>
        <w:textAlignment w:val="auto"/>
        <w:rPr>
          <w:rFonts w:ascii="Verdana" w:hAnsi="Verdana" w:cs="Verdana"/>
          <w:b/>
          <w:bCs/>
          <w:color w:val="FFFFFF"/>
          <w:sz w:val="28"/>
          <w:szCs w:val="28"/>
        </w:rPr>
      </w:pPr>
    </w:p>
    <w:sectPr w:rsidR="008D0202" w:rsidSect="00A433C2">
      <w:footerReference w:type="default" r:id="rId11"/>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53EAF29E"/>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B239A" w14:textId="77777777" w:rsidR="002A0693" w:rsidRDefault="002A0693" w:rsidP="00A03715">
      <w:pPr>
        <w:pStyle w:val="TableContents"/>
      </w:pPr>
      <w:r>
        <w:separator/>
      </w:r>
    </w:p>
  </w:endnote>
  <w:endnote w:type="continuationSeparator" w:id="0">
    <w:p w14:paraId="68B29E9C" w14:textId="77777777" w:rsidR="002A0693" w:rsidRDefault="002A0693"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2C0BC" w14:textId="77777777" w:rsidR="00E119F2" w:rsidRDefault="00E119F2"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25F8DDF7" w14:textId="77777777" w:rsidR="00E119F2" w:rsidRDefault="00E119F2" w:rsidP="00973B15">
    <w:pPr>
      <w:pStyle w:val="Pieddepage"/>
      <w:widowControl/>
      <w:jc w:val="right"/>
    </w:pPr>
    <w:r>
      <w:rPr>
        <w:rFonts w:ascii="Verdana" w:hAnsi="Verdana" w:cs="Verdana"/>
        <w:sz w:val="16"/>
        <w:szCs w:val="16"/>
      </w:rPr>
      <w:t>Fiche 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65800" w14:textId="77777777" w:rsidR="002A0693" w:rsidRDefault="002A0693" w:rsidP="00A03715">
      <w:pPr>
        <w:pStyle w:val="TableContents"/>
      </w:pPr>
      <w:r>
        <w:separator/>
      </w:r>
    </w:p>
  </w:footnote>
  <w:footnote w:type="continuationSeparator" w:id="0">
    <w:p w14:paraId="50625535" w14:textId="77777777" w:rsidR="002A0693" w:rsidRDefault="002A0693"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DB91C72"/>
    <w:multiLevelType w:val="hybridMultilevel"/>
    <w:tmpl w:val="BC9C4D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64D35FF"/>
    <w:multiLevelType w:val="hybridMultilevel"/>
    <w:tmpl w:val="67D6F2C8"/>
    <w:lvl w:ilvl="0" w:tplc="6FA0BBD8">
      <w:start w:val="1"/>
      <w:numFmt w:val="bullet"/>
      <w:lvlText w:val="•"/>
      <w:lvlJc w:val="left"/>
      <w:pPr>
        <w:tabs>
          <w:tab w:val="num" w:pos="720"/>
        </w:tabs>
        <w:ind w:left="720" w:hanging="360"/>
      </w:pPr>
      <w:rPr>
        <w:rFonts w:ascii="Arial" w:hAnsi="Arial" w:hint="default"/>
      </w:rPr>
    </w:lvl>
    <w:lvl w:ilvl="1" w:tplc="BCEAF5AA" w:tentative="1">
      <w:start w:val="1"/>
      <w:numFmt w:val="bullet"/>
      <w:lvlText w:val="•"/>
      <w:lvlJc w:val="left"/>
      <w:pPr>
        <w:tabs>
          <w:tab w:val="num" w:pos="1440"/>
        </w:tabs>
        <w:ind w:left="1440" w:hanging="360"/>
      </w:pPr>
      <w:rPr>
        <w:rFonts w:ascii="Arial" w:hAnsi="Arial" w:hint="default"/>
      </w:rPr>
    </w:lvl>
    <w:lvl w:ilvl="2" w:tplc="21424934" w:tentative="1">
      <w:start w:val="1"/>
      <w:numFmt w:val="bullet"/>
      <w:lvlText w:val="•"/>
      <w:lvlJc w:val="left"/>
      <w:pPr>
        <w:tabs>
          <w:tab w:val="num" w:pos="2160"/>
        </w:tabs>
        <w:ind w:left="2160" w:hanging="360"/>
      </w:pPr>
      <w:rPr>
        <w:rFonts w:ascii="Arial" w:hAnsi="Arial" w:hint="default"/>
      </w:rPr>
    </w:lvl>
    <w:lvl w:ilvl="3" w:tplc="E34A12DC" w:tentative="1">
      <w:start w:val="1"/>
      <w:numFmt w:val="bullet"/>
      <w:lvlText w:val="•"/>
      <w:lvlJc w:val="left"/>
      <w:pPr>
        <w:tabs>
          <w:tab w:val="num" w:pos="2880"/>
        </w:tabs>
        <w:ind w:left="2880" w:hanging="360"/>
      </w:pPr>
      <w:rPr>
        <w:rFonts w:ascii="Arial" w:hAnsi="Arial" w:hint="default"/>
      </w:rPr>
    </w:lvl>
    <w:lvl w:ilvl="4" w:tplc="C1CC3182" w:tentative="1">
      <w:start w:val="1"/>
      <w:numFmt w:val="bullet"/>
      <w:lvlText w:val="•"/>
      <w:lvlJc w:val="left"/>
      <w:pPr>
        <w:tabs>
          <w:tab w:val="num" w:pos="3600"/>
        </w:tabs>
        <w:ind w:left="3600" w:hanging="360"/>
      </w:pPr>
      <w:rPr>
        <w:rFonts w:ascii="Arial" w:hAnsi="Arial" w:hint="default"/>
      </w:rPr>
    </w:lvl>
    <w:lvl w:ilvl="5" w:tplc="9F0886AC" w:tentative="1">
      <w:start w:val="1"/>
      <w:numFmt w:val="bullet"/>
      <w:lvlText w:val="•"/>
      <w:lvlJc w:val="left"/>
      <w:pPr>
        <w:tabs>
          <w:tab w:val="num" w:pos="4320"/>
        </w:tabs>
        <w:ind w:left="4320" w:hanging="360"/>
      </w:pPr>
      <w:rPr>
        <w:rFonts w:ascii="Arial" w:hAnsi="Arial" w:hint="default"/>
      </w:rPr>
    </w:lvl>
    <w:lvl w:ilvl="6" w:tplc="FBA81780" w:tentative="1">
      <w:start w:val="1"/>
      <w:numFmt w:val="bullet"/>
      <w:lvlText w:val="•"/>
      <w:lvlJc w:val="left"/>
      <w:pPr>
        <w:tabs>
          <w:tab w:val="num" w:pos="5040"/>
        </w:tabs>
        <w:ind w:left="5040" w:hanging="360"/>
      </w:pPr>
      <w:rPr>
        <w:rFonts w:ascii="Arial" w:hAnsi="Arial" w:hint="default"/>
      </w:rPr>
    </w:lvl>
    <w:lvl w:ilvl="7" w:tplc="CFA6C8CE" w:tentative="1">
      <w:start w:val="1"/>
      <w:numFmt w:val="bullet"/>
      <w:lvlText w:val="•"/>
      <w:lvlJc w:val="left"/>
      <w:pPr>
        <w:tabs>
          <w:tab w:val="num" w:pos="5760"/>
        </w:tabs>
        <w:ind w:left="5760" w:hanging="360"/>
      </w:pPr>
      <w:rPr>
        <w:rFonts w:ascii="Arial" w:hAnsi="Arial" w:hint="default"/>
      </w:rPr>
    </w:lvl>
    <w:lvl w:ilvl="8" w:tplc="340AD37E" w:tentative="1">
      <w:start w:val="1"/>
      <w:numFmt w:val="bullet"/>
      <w:lvlText w:val="•"/>
      <w:lvlJc w:val="left"/>
      <w:pPr>
        <w:tabs>
          <w:tab w:val="num" w:pos="6480"/>
        </w:tabs>
        <w:ind w:left="6480" w:hanging="360"/>
      </w:pPr>
      <w:rPr>
        <w:rFonts w:ascii="Arial" w:hAnsi="Arial" w:hint="default"/>
      </w:rPr>
    </w:lvl>
  </w:abstractNum>
  <w:abstractNum w:abstractNumId="6">
    <w:nsid w:val="217D6EC8"/>
    <w:multiLevelType w:val="hybridMultilevel"/>
    <w:tmpl w:val="A0D0DD64"/>
    <w:lvl w:ilvl="0" w:tplc="986037BC">
      <w:start w:val="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4D20E6F"/>
    <w:multiLevelType w:val="hybridMultilevel"/>
    <w:tmpl w:val="DB40DC82"/>
    <w:lvl w:ilvl="0" w:tplc="040C0001">
      <w:start w:val="1"/>
      <w:numFmt w:val="bullet"/>
      <w:lvlText w:val=""/>
      <w:lvlJc w:val="left"/>
      <w:pPr>
        <w:ind w:left="663" w:hanging="360"/>
      </w:pPr>
      <w:rPr>
        <w:rFonts w:ascii="Symbol" w:hAnsi="Symbol" w:hint="default"/>
      </w:rPr>
    </w:lvl>
    <w:lvl w:ilvl="1" w:tplc="040C0003" w:tentative="1">
      <w:start w:val="1"/>
      <w:numFmt w:val="bullet"/>
      <w:lvlText w:val="o"/>
      <w:lvlJc w:val="left"/>
      <w:pPr>
        <w:ind w:left="1383" w:hanging="360"/>
      </w:pPr>
      <w:rPr>
        <w:rFonts w:ascii="Courier New" w:hAnsi="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hint="default"/>
      </w:rPr>
    </w:lvl>
    <w:lvl w:ilvl="8" w:tplc="040C0005" w:tentative="1">
      <w:start w:val="1"/>
      <w:numFmt w:val="bullet"/>
      <w:lvlText w:val=""/>
      <w:lvlJc w:val="left"/>
      <w:pPr>
        <w:ind w:left="6423"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0"/>
  </w:num>
  <w:num w:numId="6">
    <w:abstractNumId w:val="5"/>
  </w:num>
  <w:num w:numId="7">
    <w:abstractNumId w:val="4"/>
  </w:num>
  <w:num w:numId="8">
    <w:abstractNumId w:val="6"/>
  </w:num>
  <w:num w:numId="9">
    <w:abstractNumId w:val="8"/>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A5"/>
    <w:rsid w:val="00031B19"/>
    <w:rsid w:val="000966A5"/>
    <w:rsid w:val="000F355B"/>
    <w:rsid w:val="00141401"/>
    <w:rsid w:val="00147497"/>
    <w:rsid w:val="00172682"/>
    <w:rsid w:val="00176870"/>
    <w:rsid w:val="001C466A"/>
    <w:rsid w:val="001E2812"/>
    <w:rsid w:val="00243AF9"/>
    <w:rsid w:val="00251461"/>
    <w:rsid w:val="002A0693"/>
    <w:rsid w:val="002A5B58"/>
    <w:rsid w:val="00332D5A"/>
    <w:rsid w:val="003744CB"/>
    <w:rsid w:val="003966A6"/>
    <w:rsid w:val="00450F2B"/>
    <w:rsid w:val="004C7A60"/>
    <w:rsid w:val="00530A01"/>
    <w:rsid w:val="00543505"/>
    <w:rsid w:val="00564CE8"/>
    <w:rsid w:val="005F0153"/>
    <w:rsid w:val="00611755"/>
    <w:rsid w:val="00626CBC"/>
    <w:rsid w:val="00633A2F"/>
    <w:rsid w:val="00652F55"/>
    <w:rsid w:val="006A3BC2"/>
    <w:rsid w:val="006F3473"/>
    <w:rsid w:val="0074359D"/>
    <w:rsid w:val="007A7B97"/>
    <w:rsid w:val="007B7D1F"/>
    <w:rsid w:val="007D246C"/>
    <w:rsid w:val="007D7354"/>
    <w:rsid w:val="007F401A"/>
    <w:rsid w:val="00806B91"/>
    <w:rsid w:val="0082148C"/>
    <w:rsid w:val="00827890"/>
    <w:rsid w:val="00841AF9"/>
    <w:rsid w:val="0088450D"/>
    <w:rsid w:val="008D0202"/>
    <w:rsid w:val="008D57C0"/>
    <w:rsid w:val="00934D6C"/>
    <w:rsid w:val="0093796F"/>
    <w:rsid w:val="00973B15"/>
    <w:rsid w:val="009A7714"/>
    <w:rsid w:val="009C075F"/>
    <w:rsid w:val="00A03715"/>
    <w:rsid w:val="00A21FEB"/>
    <w:rsid w:val="00A230D1"/>
    <w:rsid w:val="00A34D8D"/>
    <w:rsid w:val="00A433C2"/>
    <w:rsid w:val="00A60403"/>
    <w:rsid w:val="00AA3D38"/>
    <w:rsid w:val="00B253A1"/>
    <w:rsid w:val="00BE52CF"/>
    <w:rsid w:val="00C408F2"/>
    <w:rsid w:val="00CC0218"/>
    <w:rsid w:val="00D86EE0"/>
    <w:rsid w:val="00D87FB9"/>
    <w:rsid w:val="00D94B8F"/>
    <w:rsid w:val="00DA6B8B"/>
    <w:rsid w:val="00DC0102"/>
    <w:rsid w:val="00E119F2"/>
    <w:rsid w:val="00ED7F39"/>
    <w:rsid w:val="00EE7747"/>
    <w:rsid w:val="00F04DC2"/>
    <w:rsid w:val="00F275A3"/>
    <w:rsid w:val="00F937AD"/>
    <w:rsid w:val="06C34EF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51D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paragraph" w:styleId="Titre5">
    <w:name w:val="heading 5"/>
    <w:basedOn w:val="Normal"/>
    <w:next w:val="Normal"/>
    <w:link w:val="Titre5Car"/>
    <w:semiHidden/>
    <w:unhideWhenUsed/>
    <w:qFormat/>
    <w:rsid w:val="0093796F"/>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character" w:customStyle="1" w:styleId="Titre5Car">
    <w:name w:val="Titre 5 Car"/>
    <w:basedOn w:val="Policepardfaut"/>
    <w:link w:val="Titre5"/>
    <w:semiHidden/>
    <w:rsid w:val="0093796F"/>
    <w:rPr>
      <w:rFonts w:asciiTheme="majorHAnsi" w:eastAsiaTheme="majorEastAsia" w:hAnsiTheme="majorHAnsi" w:cstheme="majorBidi"/>
      <w:color w:val="243F60" w:themeColor="accent1" w:themeShade="7F"/>
      <w:kern w:val="1"/>
      <w:sz w:val="24"/>
      <w:szCs w:val="24"/>
      <w:lang w:eastAsia="zh-CN" w:bidi="hi-IN"/>
    </w:rPr>
  </w:style>
  <w:style w:type="paragraph" w:styleId="Paragraphedeliste">
    <w:name w:val="List Paragraph"/>
    <w:basedOn w:val="Normal"/>
    <w:uiPriority w:val="72"/>
    <w:rsid w:val="00E119F2"/>
    <w:pPr>
      <w:ind w:left="720"/>
      <w:contextualSpacing/>
    </w:p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C408F2"/>
    <w:rPr>
      <w:rFonts w:ascii="Tahoma" w:hAnsi="Tahoma"/>
      <w:sz w:val="16"/>
      <w:szCs w:val="14"/>
    </w:rPr>
  </w:style>
  <w:style w:type="character" w:customStyle="1" w:styleId="TextedebullesCar">
    <w:name w:val="Texte de bulles Car"/>
    <w:basedOn w:val="Policepardfaut"/>
    <w:link w:val="Textedebulles"/>
    <w:rsid w:val="00C408F2"/>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1"/>
      </w:numPr>
      <w:outlineLvl w:val="0"/>
    </w:pPr>
    <w:rPr>
      <w:b/>
      <w:bCs/>
    </w:rPr>
  </w:style>
  <w:style w:type="paragraph" w:styleId="Titre2">
    <w:name w:val="heading 2"/>
    <w:basedOn w:val="Heading"/>
    <w:next w:val="Textbody"/>
    <w:qFormat/>
    <w:pPr>
      <w:numPr>
        <w:ilvl w:val="1"/>
        <w:numId w:val="1"/>
      </w:numPr>
      <w:outlineLvl w:val="1"/>
    </w:pPr>
    <w:rPr>
      <w:b/>
      <w:bCs/>
      <w:i/>
      <w:iCs/>
    </w:rPr>
  </w:style>
  <w:style w:type="paragraph" w:styleId="Titre3">
    <w:name w:val="heading 3"/>
    <w:basedOn w:val="Heading"/>
    <w:next w:val="Textbody"/>
    <w:qFormat/>
    <w:pPr>
      <w:numPr>
        <w:ilvl w:val="2"/>
        <w:numId w:val="1"/>
      </w:numPr>
      <w:outlineLvl w:val="2"/>
    </w:pPr>
    <w:rPr>
      <w:b/>
      <w:bCs/>
    </w:rPr>
  </w:style>
  <w:style w:type="paragraph" w:styleId="Titre5">
    <w:name w:val="heading 5"/>
    <w:basedOn w:val="Normal"/>
    <w:next w:val="Normal"/>
    <w:link w:val="Titre5Car"/>
    <w:semiHidden/>
    <w:unhideWhenUsed/>
    <w:qFormat/>
    <w:rsid w:val="0093796F"/>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character" w:customStyle="1" w:styleId="Titre5Car">
    <w:name w:val="Titre 5 Car"/>
    <w:basedOn w:val="Policepardfaut"/>
    <w:link w:val="Titre5"/>
    <w:semiHidden/>
    <w:rsid w:val="0093796F"/>
    <w:rPr>
      <w:rFonts w:asciiTheme="majorHAnsi" w:eastAsiaTheme="majorEastAsia" w:hAnsiTheme="majorHAnsi" w:cstheme="majorBidi"/>
      <w:color w:val="243F60" w:themeColor="accent1" w:themeShade="7F"/>
      <w:kern w:val="1"/>
      <w:sz w:val="24"/>
      <w:szCs w:val="24"/>
      <w:lang w:eastAsia="zh-CN" w:bidi="hi-IN"/>
    </w:rPr>
  </w:style>
  <w:style w:type="paragraph" w:styleId="Paragraphedeliste">
    <w:name w:val="List Paragraph"/>
    <w:basedOn w:val="Normal"/>
    <w:uiPriority w:val="72"/>
    <w:rsid w:val="00E119F2"/>
    <w:pPr>
      <w:ind w:left="720"/>
      <w:contextualSpacing/>
    </w:p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C408F2"/>
    <w:rPr>
      <w:rFonts w:ascii="Tahoma" w:hAnsi="Tahoma"/>
      <w:sz w:val="16"/>
      <w:szCs w:val="14"/>
    </w:rPr>
  </w:style>
  <w:style w:type="character" w:customStyle="1" w:styleId="TextedebullesCar">
    <w:name w:val="Texte de bulles Car"/>
    <w:basedOn w:val="Policepardfaut"/>
    <w:link w:val="Textedebulles"/>
    <w:rsid w:val="00C408F2"/>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74724">
      <w:bodyDiv w:val="1"/>
      <w:marLeft w:val="0"/>
      <w:marRight w:val="0"/>
      <w:marTop w:val="0"/>
      <w:marBottom w:val="0"/>
      <w:divBdr>
        <w:top w:val="none" w:sz="0" w:space="0" w:color="auto"/>
        <w:left w:val="none" w:sz="0" w:space="0" w:color="auto"/>
        <w:bottom w:val="none" w:sz="0" w:space="0" w:color="auto"/>
        <w:right w:val="none" w:sz="0" w:space="0" w:color="auto"/>
      </w:divBdr>
      <w:divsChild>
        <w:div w:id="673148438">
          <w:marLeft w:val="274"/>
          <w:marRight w:val="0"/>
          <w:marTop w:val="0"/>
          <w:marBottom w:val="0"/>
          <w:divBdr>
            <w:top w:val="none" w:sz="0" w:space="0" w:color="auto"/>
            <w:left w:val="none" w:sz="0" w:space="0" w:color="auto"/>
            <w:bottom w:val="none" w:sz="0" w:space="0" w:color="auto"/>
            <w:right w:val="none" w:sz="0" w:space="0" w:color="auto"/>
          </w:divBdr>
        </w:div>
        <w:div w:id="1519464292">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0c2d191d9f8643bd"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endnotes" Target="endnotes.xml"/><Relationship Id="R78fa8beb069040fb" Type="http://schemas.microsoft.com/office/2011/relationships/people" Target="people.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7EC5A7-B963-4BA1-B49B-ECFDDCD831FB}">
  <ds:schemaRefs>
    <ds:schemaRef ds:uri="c9f4b70c-db7f-4fd0-9b1d-ebaa300a76cc"/>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A710074-D169-4094-8875-4B8720A5F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459436-CCE9-45AC-A9B0-79FF4E710C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630</Words>
  <Characters>3470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5</cp:revision>
  <cp:lastPrinted>2015-07-15T09:10:00Z</cp:lastPrinted>
  <dcterms:created xsi:type="dcterms:W3CDTF">2015-07-10T13:51:00Z</dcterms:created>
  <dcterms:modified xsi:type="dcterms:W3CDTF">2015-07-15T09:11:00Z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