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7A7612" w14:textId="77777777" w:rsidR="00141401" w:rsidRPr="008D57C0" w:rsidRDefault="00806B91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7358F5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2.</w:t>
      </w:r>
      <w:r w:rsidR="00843724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2</w:t>
      </w:r>
      <w:r w:rsidR="007358F5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.</w:t>
      </w:r>
      <w:r w:rsidR="00AA3D06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3</w:t>
      </w:r>
    </w:p>
    <w:p w14:paraId="78FC4A56" w14:textId="5F33AAA9" w:rsidR="00AA3D06" w:rsidRPr="00843724" w:rsidRDefault="1C5F69FC" w:rsidP="1C5F69FC">
      <w:pPr>
        <w:pStyle w:val="WW-Standard"/>
        <w:shd w:val="clear" w:color="auto" w:fill="1F497D" w:themeFill="text2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1C5F69FC">
        <w:rPr>
          <w:rFonts w:ascii="Verdana" w:eastAsia="Verdana" w:hAnsi="Verdana" w:cs="Verdana"/>
          <w:b/>
          <w:bCs/>
          <w:color w:val="FFFFFF" w:themeColor="background1"/>
          <w:sz w:val="28"/>
          <w:szCs w:val="28"/>
        </w:rPr>
        <w:t xml:space="preserve">AMELIORER LA CONNAISSANCE DU FONCTIONNEMENT </w:t>
      </w:r>
      <w:r w:rsidR="00AA3D06">
        <w:br/>
      </w:r>
      <w:r w:rsidRPr="1C5F69FC">
        <w:rPr>
          <w:rFonts w:ascii="Verdana" w:eastAsia="Verdana" w:hAnsi="Verdana" w:cs="Verdana"/>
          <w:b/>
          <w:bCs/>
          <w:color w:val="FFFFFF" w:themeColor="background1"/>
          <w:sz w:val="28"/>
          <w:szCs w:val="28"/>
        </w:rPr>
        <w:t>DES COPROPRIETES PRIVEES</w:t>
      </w:r>
    </w:p>
    <w:p w14:paraId="49D251AA" w14:textId="77777777" w:rsidR="00611755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B8CCE4"/>
        <w:tblLook w:val="01E0" w:firstRow="1" w:lastRow="1" w:firstColumn="1" w:lastColumn="1" w:noHBand="0" w:noVBand="0"/>
      </w:tblPr>
      <w:tblGrid>
        <w:gridCol w:w="2325"/>
        <w:gridCol w:w="8550"/>
      </w:tblGrid>
      <w:tr w:rsidR="00611755" w:rsidRPr="00243AF9" w14:paraId="43F0B6CB" w14:textId="77777777" w:rsidTr="1C5F69FC">
        <w:trPr>
          <w:trHeight w:val="754"/>
        </w:trPr>
        <w:tc>
          <w:tcPr>
            <w:tcW w:w="2325" w:type="dxa"/>
            <w:shd w:val="clear" w:color="auto" w:fill="B8CCE4" w:themeFill="accent1" w:themeFillTint="66"/>
            <w:vAlign w:val="center"/>
          </w:tcPr>
          <w:p w14:paraId="0056C37C" w14:textId="77777777"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</w:t>
            </w:r>
            <w:r w:rsidR="00AF677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2</w:t>
            </w:r>
          </w:p>
          <w:p w14:paraId="3ECB27AE" w14:textId="77777777" w:rsidR="005F0153" w:rsidRPr="00243AF9" w:rsidRDefault="00611755" w:rsidP="00BE417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843724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2</w:t>
            </w:r>
          </w:p>
        </w:tc>
        <w:tc>
          <w:tcPr>
            <w:tcW w:w="8550" w:type="dxa"/>
            <w:shd w:val="clear" w:color="auto" w:fill="B8CCE4" w:themeFill="accent1" w:themeFillTint="66"/>
            <w:vAlign w:val="center"/>
          </w:tcPr>
          <w:p w14:paraId="6B2E660C" w14:textId="77777777" w:rsidR="00611755" w:rsidRPr="00405EFC" w:rsidRDefault="00806B91" w:rsidP="00403AC9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</w:t>
            </w:r>
            <w:r w:rsidR="0048178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: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AA3D06" w:rsidRPr="00AA3D06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Intégrer les copropriétés  privées dans les réflexions relatives à la mixité sociale et au vivre ensemble dans les quartiers</w:t>
            </w:r>
          </w:p>
        </w:tc>
      </w:tr>
    </w:tbl>
    <w:p w14:paraId="547FB901" w14:textId="77777777" w:rsidR="00611755" w:rsidRPr="00243AF9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9"/>
        <w:gridCol w:w="8505"/>
      </w:tblGrid>
      <w:tr w:rsidR="00611755" w:rsidRPr="00243AF9" w14:paraId="42E826A4" w14:textId="77777777" w:rsidTr="00A661C4">
        <w:trPr>
          <w:trHeight w:val="150"/>
        </w:trPr>
        <w:tc>
          <w:tcPr>
            <w:tcW w:w="2349" w:type="dxa"/>
            <w:shd w:val="clear" w:color="auto" w:fill="B8CCE4" w:themeFill="accent1" w:themeFillTint="66"/>
          </w:tcPr>
          <w:p w14:paraId="62398ABB" w14:textId="77777777" w:rsid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  <w:p w14:paraId="7CD7057B" w14:textId="6E501CFB" w:rsidR="00611755" w:rsidRP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14:paraId="12744F5A" w14:textId="77777777" w:rsidR="005A4E6C" w:rsidRPr="00800F2E" w:rsidRDefault="00B04909" w:rsidP="00B04909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 w:rsidRP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Les quartiers prioritaires accueillent une part non négligeable de copropriétés, particulièrement dans certaines villes (Joué-lès-Tours, Saint-Pierre-des-Corps)</w:t>
            </w:r>
            <w:r w:rsidR="005A4E6C" w:rsidRP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.</w:t>
            </w:r>
          </w:p>
          <w:p w14:paraId="07846C87" w14:textId="77777777" w:rsidR="00BB7F4F" w:rsidRPr="00BB7F4F" w:rsidRDefault="00BB7F4F" w:rsidP="0059622C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La requalification des copropriétés, qui </w:t>
            </w:r>
            <w:r w:rsidRP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contribuent fortement à la mixité sociale des quartiers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, constitue un enjeu du Contrat de Ville,</w:t>
            </w:r>
            <w:r w:rsidRP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pour éviter un « effet de contraste » avec le 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parc social voisin rénové.</w:t>
            </w:r>
            <w:r w:rsidR="0059622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Des travaux sont d’ores et déjà prévus comme par exemple sur la copropriété </w:t>
            </w:r>
            <w:r w:rsidR="00B64DD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d</w:t>
            </w:r>
            <w:r w:rsidR="0059622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u Grand mail à la Rabaterie (</w:t>
            </w:r>
            <w:r w:rsidR="0059622C" w:rsidRPr="0059622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réhabilitation thermique en cours d’étude</w:t>
            </w:r>
            <w:r w:rsidR="0059622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). </w:t>
            </w:r>
            <w:r w:rsidR="00235D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Ce mouvement est à poursuivre.</w:t>
            </w:r>
          </w:p>
          <w:p w14:paraId="1A187373" w14:textId="77777777" w:rsidR="003001E3" w:rsidRPr="00800F2E" w:rsidRDefault="00235D0F" w:rsidP="00800F2E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En effet, s</w:t>
            </w:r>
            <w:r w:rsidR="005A4E6C" w:rsidRP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i l’on </w:t>
            </w:r>
            <w:r w:rsidR="003001E3" w:rsidRP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n’</w:t>
            </w:r>
            <w:r w:rsidR="005A4E6C" w:rsidRP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observe pas à ce jour de </w:t>
            </w:r>
            <w:r w:rsidR="00AF3BA5" w:rsidRP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situations de copropriétés dégradées, </w:t>
            </w:r>
            <w:r w:rsid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certaines copr</w:t>
            </w:r>
            <w:r w:rsidR="00B64DD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opriétés apparaissent </w:t>
            </w:r>
            <w:r w:rsid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comme fragiles, </w:t>
            </w:r>
            <w:r w:rsidR="003001E3" w:rsidRP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avec une paupérisation des copropriétaires occupant</w:t>
            </w:r>
            <w:r w:rsid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s qui se retrouvent </w:t>
            </w:r>
            <w:r w:rsidR="00800F2E" w:rsidRP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dans l’incapacité de réaliser les travaux d’entr</w:t>
            </w:r>
            <w:r w:rsidR="00B64DD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etien de leur immeuble </w:t>
            </w:r>
            <w:r w:rsid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et sont confrontés à des risques de</w:t>
            </w:r>
            <w:r w:rsidR="00AF3BA5" w:rsidRP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précarité énergétique. </w:t>
            </w:r>
          </w:p>
          <w:p w14:paraId="5F9F7399" w14:textId="77777777" w:rsidR="00611755" w:rsidRPr="00235D0F" w:rsidRDefault="00AF3BA5" w:rsidP="00235D0F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 w:rsidRPr="00800F2E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Une veille et un accompa</w:t>
            </w:r>
            <w:r w:rsidR="00BB7F4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gnement apparaissent nécessaires pour </w:t>
            </w:r>
            <w:r w:rsidR="00235D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mieux connaître la situation des copropriétés du périmètre et intervenir de manière préventive.</w:t>
            </w:r>
          </w:p>
        </w:tc>
      </w:tr>
      <w:tr w:rsidR="00611755" w:rsidRPr="00243AF9" w14:paraId="5F31A2D1" w14:textId="77777777" w:rsidTr="00A661C4">
        <w:trPr>
          <w:trHeight w:val="142"/>
        </w:trPr>
        <w:tc>
          <w:tcPr>
            <w:tcW w:w="2349" w:type="dxa"/>
            <w:shd w:val="clear" w:color="auto" w:fill="B8CCE4" w:themeFill="accent1" w:themeFillTint="66"/>
          </w:tcPr>
          <w:p w14:paraId="20BC2C20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Objectifs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et dynamiques</w:t>
            </w:r>
          </w:p>
          <w:p w14:paraId="5AFCD2B1" w14:textId="4D6EADEE" w:rsidR="00611755" w:rsidRPr="008D57C0" w:rsidRDefault="00611755" w:rsidP="00A661C4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14:paraId="63EB8166" w14:textId="77777777" w:rsidR="00235D0F" w:rsidRPr="00E627B6" w:rsidRDefault="00235D0F" w:rsidP="00E627B6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A</w:t>
            </w:r>
            <w:r w:rsidRPr="00235D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méliorer la connaissance du fonctionnement et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de l’occupation sociale des copropriétés du périmètre,  en s’appuyant sur </w:t>
            </w:r>
            <w:r w:rsidRPr="00235D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l’observatoire 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des copropriétés </w:t>
            </w:r>
            <w:r w:rsidR="006C6E84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mis en place pa</w:t>
            </w:r>
            <w:r w:rsidR="00E627B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r Tour(s)plus et en r</w:t>
            </w:r>
            <w:r w:rsidR="006C6E84" w:rsidRPr="00E627B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enf</w:t>
            </w:r>
            <w:r w:rsidR="00E627B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orçant</w:t>
            </w:r>
            <w:r w:rsidR="006C6E84" w:rsidRPr="00E627B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les contacts avec </w:t>
            </w:r>
            <w:r w:rsidRPr="00E627B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les conseils s</w:t>
            </w:r>
            <w:r w:rsidR="00E627B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yndicaux.</w:t>
            </w:r>
          </w:p>
          <w:p w14:paraId="42829927" w14:textId="1274C378" w:rsidR="00611755" w:rsidRPr="005F0153" w:rsidRDefault="00751C66" w:rsidP="00A661C4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235D0F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Engager une réflexion sur des outils de veille sociale des copropriétés (prévention impayés, aide à la gestion…).</w:t>
            </w:r>
          </w:p>
        </w:tc>
      </w:tr>
      <w:tr w:rsidR="00611755" w:rsidRPr="00243AF9" w14:paraId="5FB98317" w14:textId="77777777" w:rsidTr="00A661C4">
        <w:trPr>
          <w:trHeight w:val="170"/>
        </w:trPr>
        <w:tc>
          <w:tcPr>
            <w:tcW w:w="2349" w:type="dxa"/>
            <w:shd w:val="clear" w:color="auto" w:fill="B8CCE4" w:themeFill="accent1" w:themeFillTint="66"/>
          </w:tcPr>
          <w:p w14:paraId="5D745541" w14:textId="77777777"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Réalisations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attendues </w:t>
            </w:r>
          </w:p>
          <w:p w14:paraId="69A83ACC" w14:textId="247B96DB" w:rsidR="00611755" w:rsidRPr="005F0153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14:paraId="26682F39" w14:textId="77777777" w:rsidR="00BD142C" w:rsidRDefault="00E627B6" w:rsidP="0009290C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 w:rsidRPr="0009290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Développement et enrichissement qualitatif de l’observatoire des copropriétés, en mobilisant des informations sur l’occupation sociale et les prob</w:t>
            </w:r>
            <w:r w:rsidR="0009290C" w:rsidRPr="0009290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lématique</w:t>
            </w:r>
            <w:r w:rsidR="00BD142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s</w:t>
            </w:r>
            <w:r w:rsidR="0009290C" w:rsidRPr="0009290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renco</w:t>
            </w:r>
            <w:r w:rsidR="0009290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ntrées :</w:t>
            </w:r>
          </w:p>
          <w:p w14:paraId="6E75ED11" w14:textId="77777777" w:rsidR="000F0EE6" w:rsidRDefault="0009290C" w:rsidP="004D1864">
            <w:pPr>
              <w:pStyle w:val="TableContents"/>
              <w:numPr>
                <w:ilvl w:val="0"/>
                <w:numId w:val="8"/>
              </w:numPr>
              <w:autoSpaceDN w:val="0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liens </w:t>
            </w:r>
            <w:r w:rsidR="000F0EE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réguliers 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à créer </w:t>
            </w:r>
            <w:r w:rsidR="000F0EE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avec 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les administrateurs de biens et syndics de copropriétés, not</w:t>
            </w:r>
            <w:r w:rsidR="000F0EE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amment dans le cadre de la GUP</w:t>
            </w:r>
          </w:p>
          <w:p w14:paraId="35F3F0B8" w14:textId="77777777" w:rsidR="005A4E6C" w:rsidRDefault="000F0EE6" w:rsidP="004D1864">
            <w:pPr>
              <w:pStyle w:val="TableContents"/>
              <w:numPr>
                <w:ilvl w:val="0"/>
                <w:numId w:val="8"/>
              </w:numPr>
              <w:autoSpaceDN w:val="0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identification des indicateurs d’alerte sur la situation des copropriétés (données </w:t>
            </w:r>
            <w:r w:rsidR="0009290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à recueillir et croiser : </w:t>
            </w: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DIA, </w:t>
            </w:r>
            <w:r w:rsidR="004D1864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demande d’aides sociales notamment au registre de la précarité énergétique…)</w:t>
            </w:r>
          </w:p>
          <w:p w14:paraId="0E2D5ED0" w14:textId="77777777" w:rsidR="000F0EE6" w:rsidRPr="004D1864" w:rsidRDefault="004D1864" w:rsidP="005C4DA7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Mise en place d’une démarche d’information et de communication </w:t>
            </w:r>
            <w:r w:rsidR="005C4DA7" w:rsidRPr="004D1864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afin de sensibiliser et accompagner </w:t>
            </w:r>
            <w:r w:rsidR="005C4DA7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les syndics </w:t>
            </w:r>
            <w:r w:rsidR="005C4DA7" w:rsidRPr="004D1864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</w:t>
            </w:r>
            <w:r w:rsidR="00B64DD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et </w:t>
            </w:r>
            <w:r w:rsidR="005C4DA7" w:rsidRPr="004D1864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les copropriétaires occupan</w:t>
            </w:r>
            <w:r w:rsidR="005C4DA7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ts</w:t>
            </w:r>
            <w:r w:rsidR="00B64DD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,</w:t>
            </w:r>
            <w:r w:rsidR="005C4DA7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 en faisant connaître </w:t>
            </w:r>
            <w:r w:rsidR="005C4DA7" w:rsidRPr="004D1864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les outils et les aides financières existantes  </w:t>
            </w:r>
            <w:r w:rsidR="005C4DA7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(notamment le programme Habiter Mieux…)</w:t>
            </w:r>
          </w:p>
          <w:p w14:paraId="326011A0" w14:textId="77777777" w:rsidR="00611755" w:rsidRPr="0009290C" w:rsidRDefault="0009290C" w:rsidP="0009290C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Collaboration renforcée avec les bailleurs sociaux, d</w:t>
            </w:r>
            <w:r w:rsidR="00B64DD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ans le cadre de la vente de logements sociaux (exemple de Tours Habitat qui </w:t>
            </w:r>
            <w:r w:rsidR="005A4E6C" w:rsidRPr="0009290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s’assure une minorité de blocage dans les copropriétés pour conserver le gardiennage et la maîtrise des travaux</w:t>
            </w:r>
            <w:r w:rsidR="00B64DD6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)</w:t>
            </w:r>
            <w:r w:rsidR="005A4E6C" w:rsidRPr="0009290C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>.</w:t>
            </w:r>
          </w:p>
        </w:tc>
      </w:tr>
      <w:tr w:rsidR="00611755" w:rsidRPr="00243AF9" w14:paraId="7C63B147" w14:textId="77777777" w:rsidTr="00A661C4">
        <w:tc>
          <w:tcPr>
            <w:tcW w:w="2349" w:type="dxa"/>
            <w:shd w:val="clear" w:color="auto" w:fill="B8CCE4" w:themeFill="accent1" w:themeFillTint="66"/>
          </w:tcPr>
          <w:p w14:paraId="7B635144" w14:textId="77777777"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Effets attendus </w:t>
            </w:r>
          </w:p>
          <w:p w14:paraId="7C103C7F" w14:textId="0BD6C285" w:rsidR="00611755" w:rsidRPr="00611755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14:paraId="42A04263" w14:textId="77777777" w:rsidR="00611755" w:rsidRPr="00382A5F" w:rsidRDefault="0009290C" w:rsidP="0009290C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bCs/>
                <w:color w:val="1F497D"/>
                <w:sz w:val="18"/>
                <w:szCs w:val="18"/>
              </w:rPr>
            </w:pPr>
            <w:r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Meilleure connaissance des problématiques du parc des copropriétés</w:t>
            </w:r>
          </w:p>
          <w:p w14:paraId="539AE2F8" w14:textId="77777777" w:rsidR="005C4DA7" w:rsidRPr="00382A5F" w:rsidRDefault="005C4DA7" w:rsidP="0009290C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bCs/>
                <w:color w:val="1F497D"/>
                <w:sz w:val="18"/>
                <w:szCs w:val="18"/>
              </w:rPr>
            </w:pPr>
            <w:r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Stratégie globale de soutien aux copropriétés les plus fragiles</w:t>
            </w:r>
          </w:p>
          <w:p w14:paraId="438790CD" w14:textId="77777777" w:rsidR="0009290C" w:rsidRPr="005C4DA7" w:rsidRDefault="005C4DA7" w:rsidP="005C4DA7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bCs/>
                <w:color w:val="1F497D"/>
                <w:sz w:val="20"/>
                <w:szCs w:val="20"/>
              </w:rPr>
            </w:pPr>
            <w:r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R</w:t>
            </w:r>
            <w:r w:rsidR="0009290C"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 xml:space="preserve">enforcement de la </w:t>
            </w:r>
            <w:proofErr w:type="spellStart"/>
            <w:r w:rsidR="0009290C"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solvabilisation</w:t>
            </w:r>
            <w:proofErr w:type="spellEnd"/>
            <w:r w:rsidR="0009290C"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 xml:space="preserve"> des copropriétaires par la mobilisation des financements existants</w:t>
            </w:r>
            <w:r w:rsidR="0009290C">
              <w:rPr>
                <w:rFonts w:ascii="Verdana" w:hAnsi="Verdana" w:cs="Arial"/>
                <w:bCs/>
                <w:color w:val="1F497D"/>
                <w:sz w:val="20"/>
                <w:szCs w:val="20"/>
              </w:rPr>
              <w:t xml:space="preserve"> </w:t>
            </w:r>
          </w:p>
        </w:tc>
      </w:tr>
      <w:tr w:rsidR="00611755" w:rsidRPr="00243AF9" w14:paraId="5E01A362" w14:textId="77777777" w:rsidTr="00A661C4">
        <w:tc>
          <w:tcPr>
            <w:tcW w:w="2349" w:type="dxa"/>
            <w:shd w:val="clear" w:color="auto" w:fill="B8CCE4" w:themeFill="accent1" w:themeFillTint="66"/>
          </w:tcPr>
          <w:p w14:paraId="0C84B72D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Territoriale</w:t>
            </w:r>
          </w:p>
          <w:p w14:paraId="162CDF78" w14:textId="48F1175F" w:rsidR="00611755" w:rsidRP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14:paraId="2BB6F7C8" w14:textId="641A740C" w:rsidR="00611755" w:rsidRPr="00243AF9" w:rsidRDefault="005C4DA7" w:rsidP="00A661C4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5C4DA7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Ensemble du périmètre du Contrat de Ville : les 4 villes sont concernées par la présence de copropriétés mais </w:t>
            </w:r>
            <w:r w:rsidR="00AF3BA5" w:rsidRPr="005C4DA7">
              <w:rPr>
                <w:rFonts w:ascii="Verdana" w:hAnsi="Verdana" w:cs="Verdana"/>
                <w:bCs/>
                <w:color w:val="1F497D"/>
                <w:sz w:val="18"/>
                <w:szCs w:val="18"/>
              </w:rPr>
              <w:t xml:space="preserve">plus particulièrement les quartiers de la Rabière et la Rabaterie, avec des degrés variables de besoins d’intervention. </w:t>
            </w:r>
          </w:p>
        </w:tc>
      </w:tr>
      <w:tr w:rsidR="00611755" w:rsidRPr="00243AF9" w14:paraId="452BC552" w14:textId="77777777" w:rsidTr="00A661C4">
        <w:tc>
          <w:tcPr>
            <w:tcW w:w="2349" w:type="dxa"/>
            <w:shd w:val="clear" w:color="auto" w:fill="B8CCE4" w:themeFill="accent1" w:themeFillTint="66"/>
          </w:tcPr>
          <w:p w14:paraId="1A982FB1" w14:textId="4A53E29A" w:rsidR="00611755" w:rsidRPr="00A661C4" w:rsidRDefault="00D87FB9" w:rsidP="00A661C4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8505" w:type="dxa"/>
            <w:shd w:val="clear" w:color="auto" w:fill="B8CCE4" w:themeFill="accent1" w:themeFillTint="66"/>
          </w:tcPr>
          <w:p w14:paraId="05D98A21" w14:textId="7D30DBBE" w:rsidR="00611755" w:rsidRPr="00382A5F" w:rsidRDefault="005C4DA7" w:rsidP="00BE147C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18"/>
                <w:szCs w:val="18"/>
              </w:rPr>
            </w:pPr>
            <w:r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Tour(s)plus</w:t>
            </w:r>
            <w:r w:rsidR="00FD602F"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 </w:t>
            </w:r>
            <w:bookmarkStart w:id="0" w:name="_GoBack"/>
            <w:bookmarkEnd w:id="0"/>
          </w:p>
        </w:tc>
      </w:tr>
      <w:tr w:rsidR="00611755" w:rsidRPr="00243AF9" w14:paraId="304FC7C7" w14:textId="77777777" w:rsidTr="00A661C4">
        <w:trPr>
          <w:trHeight w:val="557"/>
        </w:trPr>
        <w:tc>
          <w:tcPr>
            <w:tcW w:w="2349" w:type="dxa"/>
            <w:shd w:val="clear" w:color="auto" w:fill="B8CCE4" w:themeFill="accent1" w:themeFillTint="66"/>
          </w:tcPr>
          <w:p w14:paraId="05C2B718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Partenaires 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mobilisable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 (dont habitants)</w:t>
            </w:r>
          </w:p>
          <w:p w14:paraId="7043ACE4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  <w:p w14:paraId="3A635264" w14:textId="0F2909A9" w:rsidR="00611755" w:rsidRPr="00611755" w:rsidRDefault="00611755" w:rsidP="00A661C4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14:paraId="1A459E81" w14:textId="77777777" w:rsidR="006F528B" w:rsidRPr="00382A5F" w:rsidRDefault="006F528B" w:rsidP="006F528B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18"/>
                <w:szCs w:val="18"/>
              </w:rPr>
            </w:pPr>
            <w:r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lastRenderedPageBreak/>
              <w:t xml:space="preserve">Villes </w:t>
            </w:r>
          </w:p>
          <w:p w14:paraId="7AC13DD7" w14:textId="77777777" w:rsidR="006F528B" w:rsidRPr="00B64DD6" w:rsidRDefault="006F528B" w:rsidP="006F528B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18"/>
                <w:szCs w:val="18"/>
              </w:rPr>
            </w:pPr>
            <w:r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ATU</w:t>
            </w:r>
          </w:p>
          <w:p w14:paraId="04736850" w14:textId="77777777" w:rsidR="00B64DD6" w:rsidRPr="00382A5F" w:rsidRDefault="00B64DD6" w:rsidP="006F528B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Services sociaux des Villes et du Département</w:t>
            </w:r>
          </w:p>
          <w:p w14:paraId="56492A0A" w14:textId="77777777" w:rsidR="006F528B" w:rsidRPr="00382A5F" w:rsidRDefault="006F528B" w:rsidP="006F528B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18"/>
                <w:szCs w:val="18"/>
              </w:rPr>
            </w:pPr>
            <w:r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Bailleurs sociaux</w:t>
            </w:r>
          </w:p>
          <w:p w14:paraId="6D18D145" w14:textId="77777777" w:rsidR="006F528B" w:rsidRPr="00382A5F" w:rsidRDefault="006F528B" w:rsidP="006F528B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18"/>
                <w:szCs w:val="18"/>
              </w:rPr>
            </w:pPr>
            <w:r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Administrateurs de biens</w:t>
            </w:r>
          </w:p>
          <w:p w14:paraId="32F117BC" w14:textId="77777777" w:rsidR="006F528B" w:rsidRPr="00382A5F" w:rsidRDefault="006F528B" w:rsidP="006F528B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18"/>
                <w:szCs w:val="18"/>
              </w:rPr>
            </w:pPr>
            <w:r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Syndics</w:t>
            </w:r>
          </w:p>
          <w:p w14:paraId="36F7DCEB" w14:textId="77777777" w:rsidR="00611755" w:rsidRPr="00EA3B09" w:rsidRDefault="00FD602F" w:rsidP="006F528B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Observatoire des copropriétés</w:t>
            </w:r>
            <w:r w:rsidR="00EA3B09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 xml:space="preserve"> de Tour(s)plus</w:t>
            </w:r>
          </w:p>
          <w:p w14:paraId="1942C73F" w14:textId="77777777" w:rsidR="00EA3B09" w:rsidRPr="00473295" w:rsidRDefault="00EA3B09" w:rsidP="006F528B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 xml:space="preserve">PACT Indre et Loire </w:t>
            </w:r>
          </w:p>
          <w:p w14:paraId="6C5DFC68" w14:textId="77777777" w:rsidR="00473295" w:rsidRPr="00243AF9" w:rsidRDefault="00473295" w:rsidP="006F528B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lastRenderedPageBreak/>
              <w:t>ANAH</w:t>
            </w:r>
          </w:p>
        </w:tc>
      </w:tr>
      <w:tr w:rsidR="00611755" w:rsidRPr="00243AF9" w14:paraId="5A487BFE" w14:textId="77777777" w:rsidTr="00A661C4">
        <w:tc>
          <w:tcPr>
            <w:tcW w:w="2349" w:type="dxa"/>
            <w:shd w:val="clear" w:color="auto" w:fill="B8CCE4" w:themeFill="accent1" w:themeFillTint="66"/>
          </w:tcPr>
          <w:p w14:paraId="50553A9C" w14:textId="08A265F6" w:rsidR="00611755" w:rsidRPr="00243AF9" w:rsidRDefault="00611755" w:rsidP="00A661C4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Financements mobilisables</w:t>
            </w:r>
          </w:p>
        </w:tc>
        <w:tc>
          <w:tcPr>
            <w:tcW w:w="8505" w:type="dxa"/>
            <w:shd w:val="clear" w:color="auto" w:fill="B8CCE4" w:themeFill="accent1" w:themeFillTint="66"/>
          </w:tcPr>
          <w:p w14:paraId="353A7554" w14:textId="77777777" w:rsidR="00611755" w:rsidRPr="00382A5F" w:rsidRDefault="006F528B" w:rsidP="006F528B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18"/>
                <w:szCs w:val="18"/>
              </w:rPr>
            </w:pPr>
            <w:r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 xml:space="preserve">Convention de partenariat ANAH-ANRU </w:t>
            </w:r>
            <w:r w:rsidR="00FD602F"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2014-2024</w:t>
            </w:r>
          </w:p>
          <w:p w14:paraId="10881504" w14:textId="74E0D58A" w:rsidR="00FD602F" w:rsidRPr="00A661C4" w:rsidRDefault="00FD602F" w:rsidP="1C5F69FC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18"/>
                <w:szCs w:val="18"/>
              </w:rPr>
            </w:pPr>
            <w:r w:rsidRPr="00382A5F">
              <w:rPr>
                <w:rFonts w:ascii="Verdana" w:hAnsi="Verdana" w:cs="Arial"/>
                <w:color w:val="1F497D"/>
                <w:sz w:val="18"/>
                <w:szCs w:val="18"/>
              </w:rPr>
              <w:t>Programme Habiter Mieux</w:t>
            </w:r>
          </w:p>
        </w:tc>
      </w:tr>
      <w:tr w:rsidR="00611755" w:rsidRPr="00243AF9" w14:paraId="65D5D973" w14:textId="77777777" w:rsidTr="00A661C4">
        <w:trPr>
          <w:trHeight w:val="272"/>
        </w:trPr>
        <w:tc>
          <w:tcPr>
            <w:tcW w:w="2349" w:type="dxa"/>
            <w:shd w:val="clear" w:color="auto" w:fill="B8CCE4" w:themeFill="accent1" w:themeFillTint="66"/>
          </w:tcPr>
          <w:p w14:paraId="166412DA" w14:textId="254587E1" w:rsidR="00611755" w:rsidRPr="00A661C4" w:rsidRDefault="00611755" w:rsidP="00A661C4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8505" w:type="dxa"/>
            <w:shd w:val="clear" w:color="auto" w:fill="B8CCE4" w:themeFill="accent1" w:themeFillTint="66"/>
          </w:tcPr>
          <w:p w14:paraId="44E42A23" w14:textId="239DB9F6" w:rsidR="00611755" w:rsidRPr="00382A5F" w:rsidRDefault="1C5F69FC" w:rsidP="1C5F69FC">
            <w:pPr>
              <w:pStyle w:val="TableContents"/>
              <w:numPr>
                <w:ilvl w:val="0"/>
                <w:numId w:val="6"/>
              </w:numPr>
              <w:rPr>
                <w:rFonts w:ascii="Verdana,Arial" w:eastAsia="Verdana,Arial" w:hAnsi="Verdana,Arial" w:cs="Verdana,Arial"/>
                <w:color w:val="1F497D"/>
                <w:sz w:val="18"/>
                <w:szCs w:val="18"/>
              </w:rPr>
            </w:pPr>
            <w:r w:rsidRPr="00A661C4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Durée du Contrat de Ville</w:t>
            </w:r>
          </w:p>
        </w:tc>
      </w:tr>
      <w:tr w:rsidR="005F0153" w:rsidRPr="00243AF9" w14:paraId="467D907A" w14:textId="77777777" w:rsidTr="00A661C4">
        <w:tc>
          <w:tcPr>
            <w:tcW w:w="2349" w:type="dxa"/>
            <w:shd w:val="clear" w:color="auto" w:fill="B8CCE4" w:themeFill="accent1" w:themeFillTint="66"/>
          </w:tcPr>
          <w:p w14:paraId="1C17E2CC" w14:textId="77777777" w:rsidR="005F0153" w:rsidRDefault="00FD602F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</w:t>
            </w:r>
            <w:r w:rsidR="005F0153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ndicateurs de réalisation</w:t>
            </w:r>
          </w:p>
          <w:p w14:paraId="012FFF6F" w14:textId="777A8A5E" w:rsidR="005F0153" w:rsidRDefault="005F0153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14:paraId="143774F3" w14:textId="77777777" w:rsidR="00FD602F" w:rsidRPr="00382A5F" w:rsidRDefault="00B64DD6" w:rsidP="00382A5F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Mi</w:t>
            </w:r>
            <w:r w:rsidR="00382A5F"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 xml:space="preserve">se en place d’un </w:t>
            </w:r>
            <w:r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« </w:t>
            </w:r>
            <w:r w:rsidR="00382A5F"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groupe de travail copropriété</w:t>
            </w:r>
            <w:r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s »,</w:t>
            </w:r>
            <w:r w:rsidR="00382A5F"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 xml:space="preserve"> chargé de définir les données à réunir pour enrichir l’observatoire des copropriétés</w:t>
            </w:r>
          </w:p>
          <w:p w14:paraId="7BA83D65" w14:textId="77777777" w:rsidR="00382A5F" w:rsidRPr="00382A5F" w:rsidRDefault="00B64DD6" w:rsidP="00382A5F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S</w:t>
            </w:r>
            <w:r w:rsidR="00382A5F" w:rsidRPr="00382A5F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uivi des contacts avec les copropriétés du périmètre (programme de rencontres avec les syndics et administrateurs de biens)</w:t>
            </w:r>
          </w:p>
          <w:p w14:paraId="0B0BEAD7" w14:textId="77777777" w:rsidR="00382A5F" w:rsidRDefault="00B64DD6" w:rsidP="00382A5F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18"/>
                <w:szCs w:val="18"/>
              </w:rPr>
            </w:pPr>
            <w:r>
              <w:rPr>
                <w:rFonts w:ascii="Verdana" w:hAnsi="Verdana" w:cs="Arial"/>
                <w:color w:val="1F497D"/>
                <w:sz w:val="18"/>
                <w:szCs w:val="18"/>
              </w:rPr>
              <w:t>Mise en place d’outils de communication</w:t>
            </w:r>
          </w:p>
          <w:p w14:paraId="08503CEC" w14:textId="33347F33" w:rsidR="005F0153" w:rsidRPr="00A661C4" w:rsidRDefault="00B64DD6" w:rsidP="00A661C4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18"/>
                <w:szCs w:val="18"/>
              </w:rPr>
            </w:pPr>
            <w:r>
              <w:rPr>
                <w:rFonts w:ascii="Verdana" w:hAnsi="Verdana" w:cs="Arial"/>
                <w:color w:val="1F497D"/>
                <w:sz w:val="18"/>
                <w:szCs w:val="18"/>
              </w:rPr>
              <w:t>R</w:t>
            </w:r>
            <w:r w:rsidR="00EA3B09">
              <w:rPr>
                <w:rFonts w:ascii="Verdana" w:hAnsi="Verdana" w:cs="Arial"/>
                <w:color w:val="1F497D"/>
                <w:sz w:val="18"/>
                <w:szCs w:val="18"/>
              </w:rPr>
              <w:t>éunions publiques sur les moyens d’intervention auprès des copropriétés et/ou tenue de permanences</w:t>
            </w:r>
          </w:p>
        </w:tc>
      </w:tr>
      <w:tr w:rsidR="00D87FB9" w:rsidRPr="00243AF9" w14:paraId="6786533D" w14:textId="77777777" w:rsidTr="00A661C4">
        <w:tc>
          <w:tcPr>
            <w:tcW w:w="2349" w:type="dxa"/>
            <w:shd w:val="clear" w:color="auto" w:fill="B8CCE4" w:themeFill="accent1" w:themeFillTint="66"/>
          </w:tcPr>
          <w:p w14:paraId="45215366" w14:textId="77777777" w:rsidR="00D87FB9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d’effets</w:t>
            </w:r>
          </w:p>
          <w:p w14:paraId="579ACB20" w14:textId="331B41DE" w:rsidR="00D87FB9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14:paraId="39587305" w14:textId="77777777" w:rsidR="00EA3B09" w:rsidRPr="00C47C6C" w:rsidRDefault="00EA3B09" w:rsidP="00EA3B09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Demande de renseignements de copropriétaires</w:t>
            </w:r>
          </w:p>
          <w:p w14:paraId="20A57821" w14:textId="77777777" w:rsidR="00D87FB9" w:rsidRPr="00C47C6C" w:rsidRDefault="00B64DD6" w:rsidP="00EA3B09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bCs/>
                <w:color w:val="1F497D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D</w:t>
            </w:r>
            <w:r w:rsidR="00EA3B09" w:rsidRPr="00C47C6C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ossiers de demande de financements</w:t>
            </w:r>
          </w:p>
          <w:p w14:paraId="7E32402C" w14:textId="77777777" w:rsidR="00EA3B09" w:rsidRDefault="00B64DD6" w:rsidP="00EA3B09">
            <w:pPr>
              <w:pStyle w:val="TableContents"/>
              <w:numPr>
                <w:ilvl w:val="0"/>
                <w:numId w:val="6"/>
              </w:numPr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T</w:t>
            </w:r>
            <w:r w:rsidR="00EA3B09" w:rsidRPr="00C47C6C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ravaux engagés sur les copropriétés du périmètre</w:t>
            </w:r>
          </w:p>
        </w:tc>
      </w:tr>
      <w:tr w:rsidR="00611755" w:rsidRPr="00243AF9" w14:paraId="7B909E53" w14:textId="77777777" w:rsidTr="00A661C4">
        <w:tc>
          <w:tcPr>
            <w:tcW w:w="2349" w:type="dxa"/>
            <w:shd w:val="clear" w:color="auto" w:fill="B8CCE4" w:themeFill="accent1" w:themeFillTint="66"/>
          </w:tcPr>
          <w:p w14:paraId="73E7C04E" w14:textId="77777777" w:rsidR="00611755" w:rsidRPr="00243AF9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8505" w:type="dxa"/>
            <w:shd w:val="clear" w:color="auto" w:fill="B8CCE4" w:themeFill="accent1" w:themeFillTint="66"/>
          </w:tcPr>
          <w:p w14:paraId="379ED3C8" w14:textId="77777777" w:rsidR="00611755" w:rsidRDefault="00EA3B09" w:rsidP="00A661C4">
            <w:pPr>
              <w:pStyle w:val="TableContents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C47C6C">
              <w:rPr>
                <w:rFonts w:ascii="Verdana" w:hAnsi="Verdana" w:cs="Arial"/>
                <w:bCs/>
                <w:color w:val="1F497D"/>
                <w:sz w:val="18"/>
                <w:szCs w:val="18"/>
              </w:rPr>
              <w:t>Pilier 2 – Axe 2.1. Enjeu 2.1.1. Poursuivre la dynamique de requalification, adaptation et diversification de l’habitat public et développer l’intervention sur le parc privé</w:t>
            </w:r>
          </w:p>
        </w:tc>
      </w:tr>
    </w:tbl>
    <w:p w14:paraId="77F048F7" w14:textId="77777777" w:rsidR="00611755" w:rsidRDefault="00611755" w:rsidP="008D57C0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14:paraId="251A273A" w14:textId="77777777" w:rsidR="00827890" w:rsidRPr="00827890" w:rsidRDefault="00827890" w:rsidP="001F78D0">
      <w:pPr>
        <w:widowControl/>
        <w:suppressAutoHyphens w:val="0"/>
        <w:textAlignment w:val="auto"/>
      </w:pPr>
    </w:p>
    <w:sectPr w:rsidR="00827890" w:rsidRPr="00827890" w:rsidSect="00A433C2">
      <w:footerReference w:type="default" r:id="rId11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CB9A0D5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3060D" w14:textId="77777777" w:rsidR="00F860F5" w:rsidRDefault="00F860F5" w:rsidP="00A03715">
      <w:pPr>
        <w:pStyle w:val="TableContents"/>
      </w:pPr>
      <w:r>
        <w:separator/>
      </w:r>
    </w:p>
  </w:endnote>
  <w:endnote w:type="continuationSeparator" w:id="0">
    <w:p w14:paraId="2A44C98E" w14:textId="77777777" w:rsidR="00F860F5" w:rsidRDefault="00F860F5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Arial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76B3A" w14:textId="77777777" w:rsidR="00652F55" w:rsidRDefault="00652F55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</w:p>
  <w:p w14:paraId="0FAF2AA7" w14:textId="77777777" w:rsidR="00652F55" w:rsidRDefault="00652F55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 xml:space="preserve">Fiche </w:t>
    </w:r>
    <w:r w:rsidR="00D87FB9">
      <w:rPr>
        <w:rFonts w:ascii="Verdana" w:hAnsi="Verdana" w:cs="Verdana"/>
        <w:sz w:val="16"/>
        <w:szCs w:val="16"/>
      </w:rPr>
      <w:t>orientation opérationnelle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A3A6F9" w14:textId="77777777" w:rsidR="00F860F5" w:rsidRDefault="00F860F5" w:rsidP="00A03715">
      <w:pPr>
        <w:pStyle w:val="TableContents"/>
      </w:pPr>
      <w:r>
        <w:separator/>
      </w:r>
    </w:p>
  </w:footnote>
  <w:footnote w:type="continuationSeparator" w:id="0">
    <w:p w14:paraId="323C3B2E" w14:textId="77777777" w:rsidR="00F860F5" w:rsidRDefault="00F860F5" w:rsidP="00A03715">
      <w:pPr>
        <w:pStyle w:val="TableContents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654A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408276B6"/>
    <w:multiLevelType w:val="hybridMultilevel"/>
    <w:tmpl w:val="705E6050"/>
    <w:lvl w:ilvl="0" w:tplc="05560EE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75F22"/>
    <w:multiLevelType w:val="hybridMultilevel"/>
    <w:tmpl w:val="6C40597A"/>
    <w:lvl w:ilvl="0" w:tplc="1E92139A">
      <w:numFmt w:val="bullet"/>
      <w:lvlText w:val="-"/>
      <w:lvlJc w:val="left"/>
      <w:pPr>
        <w:ind w:left="1080" w:hanging="360"/>
      </w:pPr>
      <w:rPr>
        <w:rFonts w:ascii="Verdana" w:eastAsia="SimSun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F3D1315"/>
    <w:multiLevelType w:val="hybridMultilevel"/>
    <w:tmpl w:val="945AEE7C"/>
    <w:lvl w:ilvl="0" w:tplc="90383D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E8EF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B817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20A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883F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5CE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AAE3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B2F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9C3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69D2A07"/>
    <w:multiLevelType w:val="hybridMultilevel"/>
    <w:tmpl w:val="97FAC5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6"/>
  </w:num>
  <w:num w:numId="9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lara MOUSSAUD">
    <w15:presenceInfo w15:providerId="AD" w15:userId="10037FFE90603141@LIV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gutterAtTop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A5"/>
    <w:rsid w:val="00015782"/>
    <w:rsid w:val="00031B19"/>
    <w:rsid w:val="000431FC"/>
    <w:rsid w:val="0009290C"/>
    <w:rsid w:val="000966A5"/>
    <w:rsid w:val="000A570C"/>
    <w:rsid w:val="000F0EE6"/>
    <w:rsid w:val="000F355B"/>
    <w:rsid w:val="001327C8"/>
    <w:rsid w:val="00141401"/>
    <w:rsid w:val="00157E13"/>
    <w:rsid w:val="0016489B"/>
    <w:rsid w:val="00172682"/>
    <w:rsid w:val="001B5930"/>
    <w:rsid w:val="001C466A"/>
    <w:rsid w:val="001F78D0"/>
    <w:rsid w:val="00221F00"/>
    <w:rsid w:val="00235D0F"/>
    <w:rsid w:val="00243AF9"/>
    <w:rsid w:val="00251461"/>
    <w:rsid w:val="002650B0"/>
    <w:rsid w:val="00266543"/>
    <w:rsid w:val="002A5B58"/>
    <w:rsid w:val="003001E3"/>
    <w:rsid w:val="00332D5A"/>
    <w:rsid w:val="003420AD"/>
    <w:rsid w:val="00364E44"/>
    <w:rsid w:val="003744CB"/>
    <w:rsid w:val="00382A5F"/>
    <w:rsid w:val="003966A6"/>
    <w:rsid w:val="003F5E74"/>
    <w:rsid w:val="00403AC9"/>
    <w:rsid w:val="00405EFC"/>
    <w:rsid w:val="00450F2B"/>
    <w:rsid w:val="00473295"/>
    <w:rsid w:val="00481787"/>
    <w:rsid w:val="004B3159"/>
    <w:rsid w:val="004D1864"/>
    <w:rsid w:val="00502539"/>
    <w:rsid w:val="00543505"/>
    <w:rsid w:val="005561D3"/>
    <w:rsid w:val="00564CE8"/>
    <w:rsid w:val="0059622C"/>
    <w:rsid w:val="005A4E6C"/>
    <w:rsid w:val="005C2820"/>
    <w:rsid w:val="005C4DA7"/>
    <w:rsid w:val="005F0153"/>
    <w:rsid w:val="00611755"/>
    <w:rsid w:val="00626CBC"/>
    <w:rsid w:val="00633A2F"/>
    <w:rsid w:val="006507F0"/>
    <w:rsid w:val="00652F55"/>
    <w:rsid w:val="006A1D42"/>
    <w:rsid w:val="006A3BC2"/>
    <w:rsid w:val="006C6E84"/>
    <w:rsid w:val="006F3473"/>
    <w:rsid w:val="006F528B"/>
    <w:rsid w:val="007358F5"/>
    <w:rsid w:val="00741C82"/>
    <w:rsid w:val="0074359D"/>
    <w:rsid w:val="00751C66"/>
    <w:rsid w:val="00755F88"/>
    <w:rsid w:val="00772F9F"/>
    <w:rsid w:val="0079748E"/>
    <w:rsid w:val="007A7B97"/>
    <w:rsid w:val="007B7D1F"/>
    <w:rsid w:val="007D246C"/>
    <w:rsid w:val="007D7354"/>
    <w:rsid w:val="007F401A"/>
    <w:rsid w:val="00800F2E"/>
    <w:rsid w:val="00803709"/>
    <w:rsid w:val="00806B91"/>
    <w:rsid w:val="0082148C"/>
    <w:rsid w:val="00825C0B"/>
    <w:rsid w:val="00827890"/>
    <w:rsid w:val="0083470C"/>
    <w:rsid w:val="0083500C"/>
    <w:rsid w:val="00841AF9"/>
    <w:rsid w:val="00843724"/>
    <w:rsid w:val="00860E13"/>
    <w:rsid w:val="0088450D"/>
    <w:rsid w:val="008D0202"/>
    <w:rsid w:val="008D57C0"/>
    <w:rsid w:val="008F41F9"/>
    <w:rsid w:val="00934D6C"/>
    <w:rsid w:val="009520CB"/>
    <w:rsid w:val="00973B15"/>
    <w:rsid w:val="0097477D"/>
    <w:rsid w:val="009910D0"/>
    <w:rsid w:val="009972A5"/>
    <w:rsid w:val="009C075F"/>
    <w:rsid w:val="00A03715"/>
    <w:rsid w:val="00A230D1"/>
    <w:rsid w:val="00A34D8D"/>
    <w:rsid w:val="00A433C2"/>
    <w:rsid w:val="00A437E7"/>
    <w:rsid w:val="00A60403"/>
    <w:rsid w:val="00A661C4"/>
    <w:rsid w:val="00A772A6"/>
    <w:rsid w:val="00AA3D06"/>
    <w:rsid w:val="00AD0191"/>
    <w:rsid w:val="00AE355B"/>
    <w:rsid w:val="00AF3BA5"/>
    <w:rsid w:val="00AF6772"/>
    <w:rsid w:val="00B04909"/>
    <w:rsid w:val="00B64DD6"/>
    <w:rsid w:val="00B82553"/>
    <w:rsid w:val="00BB7F4F"/>
    <w:rsid w:val="00BD142C"/>
    <w:rsid w:val="00BE147C"/>
    <w:rsid w:val="00BE308A"/>
    <w:rsid w:val="00BE4175"/>
    <w:rsid w:val="00BE52CF"/>
    <w:rsid w:val="00BE6FC2"/>
    <w:rsid w:val="00C34EA6"/>
    <w:rsid w:val="00C47C6C"/>
    <w:rsid w:val="00C52CBA"/>
    <w:rsid w:val="00C648EF"/>
    <w:rsid w:val="00CC0218"/>
    <w:rsid w:val="00D80E84"/>
    <w:rsid w:val="00D86EE0"/>
    <w:rsid w:val="00D87FB9"/>
    <w:rsid w:val="00DA6B8B"/>
    <w:rsid w:val="00DC0102"/>
    <w:rsid w:val="00E627B6"/>
    <w:rsid w:val="00EA3B09"/>
    <w:rsid w:val="00ED7F39"/>
    <w:rsid w:val="00EE7747"/>
    <w:rsid w:val="00F04DC2"/>
    <w:rsid w:val="00F275A3"/>
    <w:rsid w:val="00F30F5C"/>
    <w:rsid w:val="00F716D6"/>
    <w:rsid w:val="00F860F5"/>
    <w:rsid w:val="00FD602F"/>
    <w:rsid w:val="1C5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7216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290C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AF3BA5"/>
    <w:pPr>
      <w:widowControl/>
      <w:suppressAutoHyphens w:val="0"/>
      <w:spacing w:line="300" w:lineRule="auto"/>
      <w:ind w:left="720"/>
      <w:contextualSpacing/>
      <w:jc w:val="both"/>
      <w:textAlignment w:val="auto"/>
    </w:pPr>
    <w:rPr>
      <w:rFonts w:ascii="Verdana" w:eastAsia="Times New Roman" w:hAnsi="Verdana" w:cs="Times New Roman"/>
      <w:kern w:val="0"/>
      <w:sz w:val="18"/>
      <w:szCs w:val="18"/>
      <w:lang w:eastAsia="fr-FR" w:bidi="ar-SA"/>
    </w:rPr>
  </w:style>
  <w:style w:type="paragraph" w:styleId="Commentaire">
    <w:name w:val="annotation text"/>
    <w:basedOn w:val="Normal"/>
    <w:link w:val="CommentaireCar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Textedebulles">
    <w:name w:val="Balloon Text"/>
    <w:basedOn w:val="Normal"/>
    <w:link w:val="TextedebullesCar"/>
    <w:rsid w:val="00364E44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364E44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290C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AF3BA5"/>
    <w:pPr>
      <w:widowControl/>
      <w:suppressAutoHyphens w:val="0"/>
      <w:spacing w:line="300" w:lineRule="auto"/>
      <w:ind w:left="720"/>
      <w:contextualSpacing/>
      <w:jc w:val="both"/>
      <w:textAlignment w:val="auto"/>
    </w:pPr>
    <w:rPr>
      <w:rFonts w:ascii="Verdana" w:eastAsia="Times New Roman" w:hAnsi="Verdana" w:cs="Times New Roman"/>
      <w:kern w:val="0"/>
      <w:sz w:val="18"/>
      <w:szCs w:val="18"/>
      <w:lang w:eastAsia="fr-FR" w:bidi="ar-SA"/>
    </w:rPr>
  </w:style>
  <w:style w:type="paragraph" w:styleId="Commentaire">
    <w:name w:val="annotation text"/>
    <w:basedOn w:val="Normal"/>
    <w:link w:val="CommentaireCar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Textedebulles">
    <w:name w:val="Balloon Text"/>
    <w:basedOn w:val="Normal"/>
    <w:link w:val="TextedebullesCar"/>
    <w:rsid w:val="00364E44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364E44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58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da017d2d30324312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b92768e6375c4e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49FD7E-3F5F-4D36-9246-2A50AD7599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B278D-98F3-4A64-8C9A-1F29D25AD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316577-58E0-4468-8035-AFD372B021B0}">
  <ds:schemaRefs>
    <ds:schemaRef ds:uri="http://purl.org/dc/dcmitype/"/>
    <ds:schemaRef ds:uri="http://schemas.microsoft.com/office/2006/documentManagement/types"/>
    <ds:schemaRef ds:uri="http://purl.org/dc/elements/1.1/"/>
    <ds:schemaRef ds:uri="c9f4b70c-db7f-4fd0-9b1d-ebaa300a76cc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680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Clara MOUSSAUD</cp:lastModifiedBy>
  <cp:revision>4</cp:revision>
  <cp:lastPrinted>2015-05-27T07:28:00Z</cp:lastPrinted>
  <dcterms:created xsi:type="dcterms:W3CDTF">2015-07-10T14:44:00Z</dcterms:created>
  <dcterms:modified xsi:type="dcterms:W3CDTF">2015-07-15T09:35:00Z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