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CF3135" w14:textId="77777777"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A652EB">
        <w:rPr>
          <w:rFonts w:ascii="Verdana" w:hAnsi="Verdana" w:cs="Verdana"/>
          <w:b/>
          <w:bCs/>
          <w:color w:val="17365D" w:themeColor="text2" w:themeShade="BF"/>
          <w:sz w:val="28"/>
          <w:szCs w:val="28"/>
        </w:rPr>
        <w:t>AT3.1</w:t>
      </w:r>
    </w:p>
    <w:p w14:paraId="3B0B6A84" w14:textId="77777777" w:rsidR="00A652EB" w:rsidRDefault="00A652EB" w:rsidP="003C58D3">
      <w:pPr>
        <w:pStyle w:val="WW-Standard"/>
        <w:shd w:val="clear" w:color="auto" w:fill="1F497D"/>
        <w:spacing w:after="57"/>
        <w:jc w:val="center"/>
        <w:rPr>
          <w:rFonts w:ascii="Verdana" w:hAnsi="Verdana" w:cs="Verdana"/>
          <w:b/>
          <w:bCs/>
          <w:color w:val="FFFFFF"/>
          <w:sz w:val="28"/>
          <w:szCs w:val="28"/>
        </w:rPr>
      </w:pPr>
      <w:r w:rsidRPr="00A652EB">
        <w:rPr>
          <w:rFonts w:ascii="Verdana" w:hAnsi="Verdana" w:cs="Verdana"/>
          <w:b/>
          <w:bCs/>
          <w:color w:val="FFFFFF"/>
          <w:sz w:val="28"/>
          <w:szCs w:val="28"/>
        </w:rPr>
        <w:t xml:space="preserve">CONNAITRE ET QUALIFIER LA SITUATION SUR LE TERRITOIRE </w:t>
      </w:r>
    </w:p>
    <w:p w14:paraId="38A63CD0" w14:textId="4691949A" w:rsidR="00A652EB" w:rsidRPr="003C58D3" w:rsidRDefault="4691949A" w:rsidP="4691949A">
      <w:pPr>
        <w:pStyle w:val="WW-Standard"/>
        <w:shd w:val="clear" w:color="auto" w:fill="1F497D" w:themeFill="text2"/>
        <w:spacing w:after="57"/>
        <w:jc w:val="center"/>
        <w:rPr>
          <w:rFonts w:ascii="Verdana" w:hAnsi="Verdana" w:cs="Verdana"/>
          <w:b/>
          <w:bCs/>
          <w:color w:val="FFFFFF"/>
          <w:sz w:val="28"/>
          <w:szCs w:val="28"/>
        </w:rPr>
      </w:pPr>
      <w:r w:rsidRPr="4691949A">
        <w:rPr>
          <w:rFonts w:ascii="Verdana" w:eastAsia="Verdana" w:hAnsi="Verdana" w:cs="Verdana"/>
          <w:b/>
          <w:bCs/>
          <w:color w:val="FFFFFF" w:themeColor="background1"/>
          <w:sz w:val="28"/>
          <w:szCs w:val="28"/>
        </w:rPr>
        <w:t>A PARTIR DES ACTIONS DEVELOPPEES ET/OU POUR EN CREER</w:t>
      </w:r>
    </w:p>
    <w:p w14:paraId="5A816519"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firstRow="1" w:lastRow="1" w:firstColumn="1" w:lastColumn="1" w:noHBand="0" w:noVBand="0"/>
      </w:tblPr>
      <w:tblGrid>
        <w:gridCol w:w="2802"/>
        <w:gridCol w:w="8079"/>
      </w:tblGrid>
      <w:tr w:rsidR="00611755" w:rsidRPr="00243AF9" w14:paraId="6F2F5F41" w14:textId="77777777" w:rsidTr="10B9C695">
        <w:trPr>
          <w:trHeight w:val="754"/>
        </w:trPr>
        <w:tc>
          <w:tcPr>
            <w:tcW w:w="2802" w:type="dxa"/>
            <w:shd w:val="clear" w:color="auto" w:fill="B8CCE4" w:themeFill="accent1" w:themeFillTint="66"/>
            <w:vAlign w:val="center"/>
          </w:tcPr>
          <w:p w14:paraId="3A0D4BEB" w14:textId="77777777" w:rsidR="005F0153" w:rsidRPr="00243AF9" w:rsidRDefault="003F33A7" w:rsidP="00BE4175">
            <w:pPr>
              <w:pStyle w:val="TableContents"/>
              <w:rPr>
                <w:rFonts w:ascii="Verdana" w:hAnsi="Verdana" w:cs="Verdana"/>
                <w:b/>
                <w:bCs/>
                <w:color w:val="1F497D"/>
                <w:sz w:val="20"/>
                <w:szCs w:val="20"/>
              </w:rPr>
            </w:pPr>
            <w:r>
              <w:rPr>
                <w:rFonts w:ascii="Verdana" w:hAnsi="Verdana" w:cs="Verdana"/>
                <w:b/>
                <w:bCs/>
                <w:color w:val="1F497D"/>
                <w:sz w:val="20"/>
                <w:szCs w:val="20"/>
              </w:rPr>
              <w:t>Axe transversal</w:t>
            </w:r>
          </w:p>
        </w:tc>
        <w:tc>
          <w:tcPr>
            <w:tcW w:w="8079" w:type="dxa"/>
            <w:shd w:val="clear" w:color="auto" w:fill="B8CCE4" w:themeFill="accent1" w:themeFillTint="66"/>
            <w:vAlign w:val="center"/>
          </w:tcPr>
          <w:p w14:paraId="6EA7D44B" w14:textId="10B9C695" w:rsidR="00611755" w:rsidRPr="00405EFC" w:rsidRDefault="10B9C695" w:rsidP="00C048D6">
            <w:pPr>
              <w:pStyle w:val="TableContents"/>
              <w:rPr>
                <w:rFonts w:ascii="Verdana" w:hAnsi="Verdana" w:cs="Verdana"/>
                <w:b/>
                <w:bCs/>
                <w:color w:val="1F497D"/>
                <w:sz w:val="20"/>
                <w:szCs w:val="20"/>
              </w:rPr>
            </w:pPr>
            <w:r w:rsidRPr="10B9C695">
              <w:rPr>
                <w:rFonts w:ascii="Verdana" w:eastAsia="Verdana" w:hAnsi="Verdana" w:cs="Verdana"/>
                <w:b/>
                <w:bCs/>
                <w:color w:val="1F497D" w:themeColor="text2"/>
                <w:sz w:val="20"/>
                <w:szCs w:val="20"/>
              </w:rPr>
              <w:t>Enjeu transversal : Promouvoir l’égalité hommes femmes dans les quartiers</w:t>
            </w:r>
          </w:p>
        </w:tc>
      </w:tr>
    </w:tbl>
    <w:p w14:paraId="4458FC81" w14:textId="77777777"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 w:type="dxa"/>
          <w:right w:w="10" w:type="dxa"/>
        </w:tblCellMar>
        <w:tblLook w:val="0000" w:firstRow="0" w:lastRow="0" w:firstColumn="0" w:lastColumn="0" w:noHBand="0" w:noVBand="0"/>
      </w:tblPr>
      <w:tblGrid>
        <w:gridCol w:w="2775"/>
        <w:gridCol w:w="8079"/>
      </w:tblGrid>
      <w:tr w:rsidR="00611755" w:rsidRPr="00645BC1" w14:paraId="36E21FF5" w14:textId="77777777" w:rsidTr="10B9C695">
        <w:trPr>
          <w:trHeight w:val="150"/>
        </w:trPr>
        <w:tc>
          <w:tcPr>
            <w:tcW w:w="2775" w:type="dxa"/>
            <w:shd w:val="clear" w:color="auto" w:fill="B8CCE4" w:themeFill="accent1" w:themeFillTint="66"/>
          </w:tcPr>
          <w:p w14:paraId="589C46F8" w14:textId="77777777" w:rsidR="00611755" w:rsidRPr="00645BC1" w:rsidRDefault="00611755" w:rsidP="00611755">
            <w:pPr>
              <w:pStyle w:val="TableContents"/>
              <w:snapToGrid w:val="0"/>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 xml:space="preserve">Contexte </w:t>
            </w:r>
          </w:p>
          <w:p w14:paraId="18C1AEF1" w14:textId="21BC31D1" w:rsidR="00611755" w:rsidRPr="00645BC1" w:rsidRDefault="00611755" w:rsidP="00611755">
            <w:pPr>
              <w:pStyle w:val="TableContents"/>
              <w:snapToGrid w:val="0"/>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14:paraId="429EF762" w14:textId="0E2CB72B" w:rsidR="003F33A7" w:rsidRPr="00645BC1" w:rsidRDefault="10B9C695" w:rsidP="10B9C695">
            <w:pPr>
              <w:pStyle w:val="TableContents"/>
              <w:numPr>
                <w:ilvl w:val="0"/>
                <w:numId w:val="1"/>
              </w:numPr>
              <w:snapToGrid w:val="0"/>
              <w:spacing w:before="120" w:after="120"/>
              <w:ind w:right="-10"/>
              <w:rPr>
                <w:rFonts w:ascii="Verdana" w:eastAsia="Verdana" w:hAnsi="Verdana" w:cs="Verdana"/>
                <w:color w:val="1F487C"/>
                <w:sz w:val="20"/>
                <w:szCs w:val="20"/>
              </w:rPr>
            </w:pPr>
            <w:r w:rsidRPr="00645BC1">
              <w:rPr>
                <w:rFonts w:ascii="Verdana" w:eastAsia="Verdana" w:hAnsi="Verdana" w:cs="Verdana"/>
                <w:color w:val="1F487C"/>
                <w:sz w:val="20"/>
                <w:szCs w:val="20"/>
              </w:rPr>
              <w:t xml:space="preserve">Aux inégalités entre les territoires, s’ajoutent des inégalités au sein des populations des territoires fragilisés, et en premier lieu entre les femmes et les hommes. </w:t>
            </w:r>
          </w:p>
          <w:p w14:paraId="7363B198" w14:textId="0DCCEC80" w:rsidR="003F33A7" w:rsidRPr="00645BC1" w:rsidRDefault="10B9C695" w:rsidP="10B9C695">
            <w:pPr>
              <w:pStyle w:val="TableContents"/>
              <w:numPr>
                <w:ilvl w:val="0"/>
                <w:numId w:val="1"/>
              </w:numPr>
              <w:spacing w:before="120" w:after="120" w:line="259" w:lineRule="auto"/>
              <w:ind w:right="-10"/>
              <w:rPr>
                <w:rFonts w:ascii="Verdana" w:eastAsia="Verdana" w:hAnsi="Verdana" w:cs="Verdana"/>
                <w:color w:val="1F487C"/>
                <w:sz w:val="20"/>
                <w:szCs w:val="20"/>
              </w:rPr>
            </w:pPr>
            <w:r w:rsidRPr="00645BC1">
              <w:rPr>
                <w:rFonts w:ascii="Verdana" w:eastAsia="Verdana" w:hAnsi="Verdana" w:cs="Verdana"/>
                <w:color w:val="1F487C"/>
                <w:sz w:val="20"/>
                <w:szCs w:val="20"/>
              </w:rPr>
              <w:t xml:space="preserve">Faire de l’égalité entre les femmes et les hommes, c’est permettre à chacune et à chacun d’accéder aux mêmes droits, chances, opportunités, possibilités de développer ses compétences et talents et de les exercer. </w:t>
            </w:r>
            <w:r w:rsidR="00900BBB">
              <w:rPr>
                <w:rFonts w:ascii="Verdana" w:eastAsia="Verdana" w:hAnsi="Verdana" w:cs="Verdana"/>
                <w:color w:val="1F487C"/>
                <w:sz w:val="20"/>
                <w:szCs w:val="20"/>
              </w:rPr>
              <w:t>Or</w:t>
            </w:r>
            <w:r w:rsidRPr="00645BC1">
              <w:rPr>
                <w:rFonts w:ascii="Verdana" w:eastAsia="Verdana" w:hAnsi="Verdana" w:cs="Verdana"/>
                <w:color w:val="1F487C"/>
                <w:sz w:val="20"/>
                <w:szCs w:val="20"/>
              </w:rPr>
              <w:t xml:space="preserve"> l'ensemble des indicateurs nationaux montrent des inégalités importantes qui perdurent et qui nécessitent, au-delà de la prise de conscience, un investissement collectif et durable.</w:t>
            </w:r>
          </w:p>
          <w:p w14:paraId="1343867E" w14:textId="4BCFDED7" w:rsidR="00611755" w:rsidRPr="00645BC1" w:rsidRDefault="10B9C695" w:rsidP="00645BC1">
            <w:pPr>
              <w:pStyle w:val="TableContents"/>
              <w:numPr>
                <w:ilvl w:val="0"/>
                <w:numId w:val="1"/>
              </w:numPr>
              <w:spacing w:before="120" w:after="120" w:line="259" w:lineRule="auto"/>
              <w:ind w:right="-10"/>
              <w:rPr>
                <w:rFonts w:ascii="Verdana" w:hAnsi="Verdana" w:cs="Arial"/>
                <w:bCs/>
                <w:color w:val="1F497D"/>
                <w:sz w:val="20"/>
                <w:szCs w:val="20"/>
              </w:rPr>
            </w:pPr>
            <w:r w:rsidRPr="00645BC1">
              <w:rPr>
                <w:rFonts w:ascii="Verdana" w:eastAsia="Verdana" w:hAnsi="Verdana" w:cs="Verdana"/>
                <w:color w:val="1F487C"/>
                <w:sz w:val="20"/>
                <w:szCs w:val="20"/>
              </w:rPr>
              <w:t>Au même titre que la lutte contre les discriminations, la politique de l’égalité entre les femmes et les hommes doit être portée par l’ensemble des acteurs (décideurs, porteurs de projets, prestataires, acteurs de terrain…).</w:t>
            </w:r>
          </w:p>
        </w:tc>
      </w:tr>
      <w:tr w:rsidR="00611755" w:rsidRPr="00645BC1" w14:paraId="6C4FA5EE" w14:textId="77777777" w:rsidTr="10B9C695">
        <w:trPr>
          <w:trHeight w:val="142"/>
        </w:trPr>
        <w:tc>
          <w:tcPr>
            <w:tcW w:w="2775" w:type="dxa"/>
            <w:shd w:val="clear" w:color="auto" w:fill="B8CCE4" w:themeFill="accent1" w:themeFillTint="66"/>
          </w:tcPr>
          <w:p w14:paraId="74B79440" w14:textId="77777777" w:rsidR="00611755" w:rsidRPr="00645BC1" w:rsidRDefault="00611755" w:rsidP="00611755">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Objectifs et dynamiques</w:t>
            </w:r>
          </w:p>
          <w:p w14:paraId="5DE291B5" w14:textId="00A4B5A0" w:rsidR="00611755" w:rsidRPr="00645BC1" w:rsidRDefault="00611755" w:rsidP="003F33A7">
            <w:pPr>
              <w:pStyle w:val="TableContents"/>
              <w:autoSpaceDN w:val="0"/>
              <w:spacing w:before="120" w:after="120"/>
              <w:jc w:val="both"/>
              <w:rPr>
                <w:rFonts w:ascii="Verdana" w:hAnsi="Verdana" w:cs="Arial"/>
                <w:i/>
                <w:color w:val="1F497D"/>
                <w:sz w:val="20"/>
                <w:szCs w:val="20"/>
              </w:rPr>
            </w:pPr>
          </w:p>
        </w:tc>
        <w:tc>
          <w:tcPr>
            <w:tcW w:w="8079" w:type="dxa"/>
            <w:shd w:val="clear" w:color="auto" w:fill="B8CCE4" w:themeFill="accent1" w:themeFillTint="66"/>
          </w:tcPr>
          <w:p w14:paraId="67EE391D" w14:textId="24CBABD7" w:rsidR="00350E93" w:rsidRPr="00645BC1" w:rsidRDefault="10B9C695" w:rsidP="00645BC1">
            <w:pPr>
              <w:pStyle w:val="TableContents"/>
              <w:numPr>
                <w:ilvl w:val="0"/>
                <w:numId w:val="10"/>
              </w:numPr>
              <w:snapToGrid w:val="0"/>
              <w:spacing w:before="120" w:after="120"/>
              <w:ind w:right="-10"/>
              <w:rPr>
                <w:rFonts w:ascii="Verdana" w:eastAsia="Verdana" w:hAnsi="Verdana" w:cs="Verdana"/>
                <w:bCs/>
                <w:color w:val="1F497D"/>
                <w:sz w:val="20"/>
                <w:szCs w:val="20"/>
              </w:rPr>
            </w:pPr>
            <w:r w:rsidRPr="00645BC1">
              <w:rPr>
                <w:rFonts w:ascii="Verdana" w:eastAsia="Verdana" w:hAnsi="Verdana" w:cs="Verdana"/>
                <w:color w:val="1F497D" w:themeColor="text2"/>
                <w:sz w:val="20"/>
                <w:szCs w:val="20"/>
              </w:rPr>
              <w:t xml:space="preserve">Produire des statistiques sexuées sur l’ensemble des actions, </w:t>
            </w:r>
          </w:p>
          <w:p w14:paraId="207422C0" w14:textId="0999AE2A" w:rsidR="00645BC1" w:rsidRPr="00645BC1" w:rsidRDefault="10B9C695" w:rsidP="00645BC1">
            <w:pPr>
              <w:pStyle w:val="TableContents"/>
              <w:numPr>
                <w:ilvl w:val="0"/>
                <w:numId w:val="10"/>
              </w:numPr>
              <w:snapToGrid w:val="0"/>
              <w:spacing w:before="120" w:after="120"/>
              <w:ind w:right="-10"/>
              <w:contextualSpacing/>
              <w:rPr>
                <w:rFonts w:ascii="Verdana" w:eastAsia="Calibri" w:hAnsi="Verdana"/>
                <w:color w:val="FF0000"/>
                <w:sz w:val="20"/>
                <w:szCs w:val="20"/>
                <w:lang w:eastAsia="en-US"/>
              </w:rPr>
            </w:pPr>
            <w:r w:rsidRPr="00645BC1">
              <w:rPr>
                <w:rFonts w:ascii="Verdana" w:eastAsia="Verdana" w:hAnsi="Verdana" w:cs="Verdana"/>
                <w:color w:val="1F497D" w:themeColor="text2"/>
                <w:sz w:val="20"/>
                <w:szCs w:val="20"/>
              </w:rPr>
              <w:t>Produire des analyses et bilan</w:t>
            </w:r>
            <w:r w:rsidR="00900BBB">
              <w:rPr>
                <w:rFonts w:ascii="Verdana" w:eastAsia="Verdana" w:hAnsi="Verdana" w:cs="Verdana"/>
                <w:color w:val="1F497D" w:themeColor="text2"/>
                <w:sz w:val="20"/>
                <w:szCs w:val="20"/>
              </w:rPr>
              <w:t>s</w:t>
            </w:r>
            <w:r w:rsidRPr="00645BC1">
              <w:rPr>
                <w:rFonts w:ascii="Verdana" w:eastAsia="Verdana" w:hAnsi="Verdana" w:cs="Verdana"/>
                <w:color w:val="1F497D" w:themeColor="text2"/>
                <w:sz w:val="20"/>
                <w:szCs w:val="20"/>
              </w:rPr>
              <w:t xml:space="preserve"> en incluant des mesures d’impact sur l’égalité.</w:t>
            </w:r>
          </w:p>
          <w:p w14:paraId="5B7AF8F8" w14:textId="2265F219" w:rsidR="00350E93" w:rsidRPr="00645BC1" w:rsidRDefault="10B9C695" w:rsidP="00645BC1">
            <w:pPr>
              <w:pStyle w:val="TableContents"/>
              <w:numPr>
                <w:ilvl w:val="0"/>
                <w:numId w:val="10"/>
              </w:numPr>
              <w:snapToGrid w:val="0"/>
              <w:spacing w:before="120" w:after="120"/>
              <w:ind w:right="-10"/>
              <w:contextualSpacing/>
              <w:rPr>
                <w:rFonts w:ascii="Verdana" w:eastAsia="Calibri" w:hAnsi="Verdana"/>
                <w:color w:val="FF0000"/>
                <w:sz w:val="20"/>
                <w:szCs w:val="20"/>
                <w:lang w:eastAsia="en-US"/>
              </w:rPr>
            </w:pPr>
            <w:r w:rsidRPr="00645BC1">
              <w:rPr>
                <w:rFonts w:ascii="Verdana" w:eastAsia="Verdana" w:hAnsi="Verdana" w:cs="Verdana"/>
                <w:color w:val="1F497D" w:themeColor="text2"/>
                <w:sz w:val="20"/>
                <w:szCs w:val="20"/>
              </w:rPr>
              <w:t>développer un plan d'actions</w:t>
            </w:r>
            <w:r w:rsidR="00350E93" w:rsidRPr="00645BC1">
              <w:rPr>
                <w:rFonts w:ascii="Verdana" w:eastAsia="Calibri" w:hAnsi="Verdana"/>
                <w:color w:val="FF0000"/>
                <w:sz w:val="20"/>
                <w:szCs w:val="20"/>
                <w:lang w:eastAsia="en-US"/>
              </w:rPr>
              <w:t xml:space="preserve"> </w:t>
            </w:r>
          </w:p>
          <w:p w14:paraId="02119736" w14:textId="580005AE" w:rsidR="00611755" w:rsidRPr="00645BC1" w:rsidRDefault="00611755" w:rsidP="10B9C695">
            <w:pPr>
              <w:contextualSpacing/>
              <w:rPr>
                <w:rFonts w:ascii="Verdana" w:hAnsi="Verdana" w:cs="Arial"/>
                <w:i/>
                <w:color w:val="1F497D"/>
                <w:sz w:val="20"/>
                <w:szCs w:val="20"/>
              </w:rPr>
            </w:pPr>
          </w:p>
        </w:tc>
      </w:tr>
      <w:tr w:rsidR="00611755" w:rsidRPr="00645BC1" w14:paraId="003C4981" w14:textId="77777777" w:rsidTr="10B9C695">
        <w:trPr>
          <w:trHeight w:val="170"/>
        </w:trPr>
        <w:tc>
          <w:tcPr>
            <w:tcW w:w="2775" w:type="dxa"/>
            <w:shd w:val="clear" w:color="auto" w:fill="B8CCE4" w:themeFill="accent1" w:themeFillTint="66"/>
          </w:tcPr>
          <w:p w14:paraId="0E27EC5F" w14:textId="77777777" w:rsidR="005F0153" w:rsidRPr="00645BC1" w:rsidRDefault="00611755" w:rsidP="00611755">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 xml:space="preserve">Réalisations attendues </w:t>
            </w:r>
          </w:p>
          <w:p w14:paraId="7C4D68C2" w14:textId="3C530686" w:rsidR="00611755" w:rsidRPr="00645BC1" w:rsidRDefault="00611755" w:rsidP="00645BC1">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14:paraId="3C299F9A" w14:textId="77777777" w:rsidR="003F33A7" w:rsidRPr="00645BC1" w:rsidRDefault="003F33A7" w:rsidP="003F33A7">
            <w:pPr>
              <w:pStyle w:val="TableContents"/>
              <w:numPr>
                <w:ilvl w:val="0"/>
                <w:numId w:val="8"/>
              </w:numPr>
              <w:snapToGrid w:val="0"/>
              <w:spacing w:before="120" w:after="120"/>
              <w:ind w:right="-10"/>
              <w:rPr>
                <w:rFonts w:ascii="Verdana" w:hAnsi="Verdana" w:cs="Verdana"/>
                <w:bCs/>
                <w:color w:val="1F497D"/>
                <w:sz w:val="20"/>
                <w:szCs w:val="20"/>
              </w:rPr>
            </w:pPr>
            <w:r w:rsidRPr="00645BC1">
              <w:rPr>
                <w:rFonts w:ascii="Verdana" w:hAnsi="Verdana" w:cs="Verdana"/>
                <w:bCs/>
                <w:color w:val="1F497D"/>
                <w:sz w:val="20"/>
                <w:szCs w:val="20"/>
              </w:rPr>
              <w:t>Chaque action déployée dans le cadre du contrat de ville (dans ou hors programmation) devra intégrer des indicateurs sexuées sur le public impliqué.</w:t>
            </w:r>
          </w:p>
          <w:p w14:paraId="1DAD8AFD" w14:textId="77777777" w:rsidR="00611755" w:rsidRPr="00645BC1" w:rsidRDefault="00350E93" w:rsidP="003F33A7">
            <w:pPr>
              <w:pStyle w:val="TableContents"/>
              <w:numPr>
                <w:ilvl w:val="0"/>
                <w:numId w:val="8"/>
              </w:numPr>
              <w:snapToGrid w:val="0"/>
              <w:spacing w:before="120" w:after="120"/>
              <w:ind w:right="-10"/>
              <w:rPr>
                <w:rFonts w:ascii="Verdana" w:hAnsi="Verdana" w:cs="Verdana"/>
                <w:bCs/>
                <w:color w:val="1F497D"/>
                <w:sz w:val="20"/>
                <w:szCs w:val="20"/>
              </w:rPr>
            </w:pPr>
            <w:r w:rsidRPr="00645BC1">
              <w:rPr>
                <w:rFonts w:ascii="Verdana" w:hAnsi="Verdana" w:cs="Verdana"/>
                <w:bCs/>
                <w:color w:val="1F497D"/>
                <w:sz w:val="20"/>
                <w:szCs w:val="20"/>
              </w:rPr>
              <w:t>Les conventions de subvention aux associations devront comprendre des indicateurs spécifiques mettant en exergue les actions destinées aux femmes et/ou présentant des contenus visant à réduire les inégalités entre les femmes et les hommes</w:t>
            </w:r>
          </w:p>
          <w:p w14:paraId="637EBF65" w14:textId="77777777" w:rsidR="003F33A7" w:rsidRPr="00645BC1" w:rsidRDefault="003F33A7" w:rsidP="003F33A7">
            <w:pPr>
              <w:widowControl/>
              <w:suppressAutoHyphens w:val="0"/>
              <w:jc w:val="both"/>
              <w:textAlignment w:val="auto"/>
              <w:rPr>
                <w:rFonts w:ascii="Verdana" w:hAnsi="Verdana" w:cs="Arial"/>
                <w:color w:val="1F497D"/>
                <w:sz w:val="20"/>
                <w:szCs w:val="20"/>
              </w:rPr>
            </w:pPr>
          </w:p>
        </w:tc>
      </w:tr>
      <w:tr w:rsidR="00611755" w:rsidRPr="00645BC1" w14:paraId="54533AC5" w14:textId="77777777" w:rsidTr="10B9C695">
        <w:tc>
          <w:tcPr>
            <w:tcW w:w="2775" w:type="dxa"/>
            <w:shd w:val="clear" w:color="auto" w:fill="B8CCE4" w:themeFill="accent1" w:themeFillTint="66"/>
          </w:tcPr>
          <w:p w14:paraId="5FB6F724" w14:textId="77777777" w:rsidR="005F0153" w:rsidRPr="00645BC1" w:rsidRDefault="00611755" w:rsidP="00611755">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 xml:space="preserve">Effets attendus </w:t>
            </w:r>
          </w:p>
          <w:p w14:paraId="774CAEED" w14:textId="582E0990" w:rsidR="00611755" w:rsidRPr="00645BC1" w:rsidRDefault="00611755" w:rsidP="005F0153">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14:paraId="7980C0A2" w14:textId="35E327A6" w:rsidR="4691949A" w:rsidRPr="00645BC1" w:rsidRDefault="4691949A" w:rsidP="4691949A">
            <w:pPr>
              <w:pStyle w:val="TableContents"/>
              <w:numPr>
                <w:ilvl w:val="0"/>
                <w:numId w:val="8"/>
              </w:numPr>
              <w:spacing w:before="120" w:after="120"/>
              <w:ind w:right="-10"/>
              <w:rPr>
                <w:rFonts w:ascii="Verdana" w:eastAsia="Verdana" w:hAnsi="Verdana" w:cs="Verdana"/>
                <w:color w:val="1F497D" w:themeColor="text2"/>
                <w:sz w:val="20"/>
                <w:szCs w:val="20"/>
              </w:rPr>
            </w:pPr>
            <w:r w:rsidRPr="00645BC1">
              <w:rPr>
                <w:rFonts w:ascii="Verdana" w:eastAsia="Verdana" w:hAnsi="Verdana" w:cs="Verdana"/>
                <w:color w:val="1F497D" w:themeColor="text2"/>
                <w:sz w:val="20"/>
                <w:szCs w:val="20"/>
              </w:rPr>
              <w:t>Familiariser tous les acteurs à la production de données sexuées qui permettent de quantifier et de qualifier les situations d’inégalité.</w:t>
            </w:r>
          </w:p>
          <w:p w14:paraId="6F37084F" w14:textId="23FA7AE9" w:rsidR="10B9C695" w:rsidRPr="00645BC1" w:rsidRDefault="10B9C695" w:rsidP="10B9C695">
            <w:pPr>
              <w:pStyle w:val="TableContents"/>
              <w:numPr>
                <w:ilvl w:val="0"/>
                <w:numId w:val="8"/>
              </w:numPr>
              <w:spacing w:before="120" w:after="120"/>
              <w:ind w:right="-10"/>
              <w:rPr>
                <w:rFonts w:ascii="Verdana" w:eastAsia="Verdana" w:hAnsi="Verdana" w:cs="Verdana"/>
                <w:color w:val="1F487C"/>
                <w:sz w:val="20"/>
                <w:szCs w:val="20"/>
              </w:rPr>
            </w:pPr>
            <w:r w:rsidRPr="00645BC1">
              <w:rPr>
                <w:rFonts w:ascii="Verdana" w:eastAsia="Verdana" w:hAnsi="Verdana" w:cs="Verdana"/>
                <w:color w:val="1F487C"/>
                <w:sz w:val="20"/>
                <w:szCs w:val="20"/>
              </w:rPr>
              <w:t>Objectiver les inégalités entre les femmes et les hommes afin d'agir et de mobiliser les acteurs locaux et les habitants pour les réduire.</w:t>
            </w:r>
          </w:p>
          <w:p w14:paraId="260E004C" w14:textId="77777777" w:rsidR="00611755" w:rsidRPr="00645BC1" w:rsidRDefault="00611755" w:rsidP="00611755">
            <w:pPr>
              <w:pStyle w:val="TableContents"/>
              <w:spacing w:before="120" w:after="120"/>
              <w:rPr>
                <w:rFonts w:ascii="Verdana" w:hAnsi="Verdana" w:cs="Arial"/>
                <w:color w:val="1F497D"/>
                <w:sz w:val="20"/>
                <w:szCs w:val="20"/>
              </w:rPr>
            </w:pPr>
          </w:p>
        </w:tc>
      </w:tr>
      <w:tr w:rsidR="00611755" w:rsidRPr="00645BC1" w14:paraId="70EC7022" w14:textId="77777777" w:rsidTr="10B9C695">
        <w:tc>
          <w:tcPr>
            <w:tcW w:w="2775" w:type="dxa"/>
            <w:shd w:val="clear" w:color="auto" w:fill="B8CCE4" w:themeFill="accent1" w:themeFillTint="66"/>
          </w:tcPr>
          <w:p w14:paraId="1B9F2E78" w14:textId="77777777" w:rsidR="00611755" w:rsidRPr="00645BC1" w:rsidRDefault="00611755" w:rsidP="00611755">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Echelle Territoriale</w:t>
            </w:r>
          </w:p>
          <w:p w14:paraId="55C58D11" w14:textId="7931ACB4" w:rsidR="00611755" w:rsidRPr="00645BC1" w:rsidRDefault="00611755" w:rsidP="00611755">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14:paraId="06766440" w14:textId="77777777" w:rsidR="00611755" w:rsidRPr="00645BC1" w:rsidRDefault="003F33A7" w:rsidP="00611755">
            <w:pPr>
              <w:pStyle w:val="TableContents"/>
              <w:spacing w:before="120" w:after="120"/>
              <w:rPr>
                <w:rFonts w:ascii="Verdana" w:hAnsi="Verdana" w:cs="Arial"/>
                <w:color w:val="1F497D"/>
                <w:sz w:val="20"/>
                <w:szCs w:val="20"/>
              </w:rPr>
            </w:pPr>
            <w:r w:rsidRPr="00645BC1">
              <w:rPr>
                <w:rFonts w:ascii="Verdana" w:hAnsi="Verdana" w:cs="Arial"/>
                <w:color w:val="1F497D"/>
                <w:sz w:val="20"/>
                <w:szCs w:val="20"/>
              </w:rPr>
              <w:t>Echelle intercommunale</w:t>
            </w:r>
          </w:p>
          <w:p w14:paraId="300A99DF" w14:textId="77777777" w:rsidR="003F33A7" w:rsidRPr="00645BC1" w:rsidRDefault="003F33A7" w:rsidP="00611755">
            <w:pPr>
              <w:pStyle w:val="TableContents"/>
              <w:spacing w:before="120" w:after="120"/>
              <w:rPr>
                <w:rFonts w:ascii="Verdana" w:hAnsi="Verdana" w:cs="Arial"/>
                <w:color w:val="1F497D"/>
                <w:sz w:val="20"/>
                <w:szCs w:val="20"/>
              </w:rPr>
            </w:pPr>
            <w:r w:rsidRPr="00645BC1">
              <w:rPr>
                <w:rFonts w:ascii="Verdana" w:hAnsi="Verdana" w:cs="Arial"/>
                <w:color w:val="1F497D"/>
                <w:sz w:val="20"/>
                <w:szCs w:val="20"/>
              </w:rPr>
              <w:t>Echelle de chaque quartier, pour les actions déployées</w:t>
            </w:r>
          </w:p>
        </w:tc>
      </w:tr>
      <w:tr w:rsidR="00611755" w:rsidRPr="00645BC1" w14:paraId="62800C1D" w14:textId="77777777" w:rsidTr="10B9C695">
        <w:tc>
          <w:tcPr>
            <w:tcW w:w="2775" w:type="dxa"/>
            <w:shd w:val="clear" w:color="auto" w:fill="B8CCE4" w:themeFill="accent1" w:themeFillTint="66"/>
          </w:tcPr>
          <w:p w14:paraId="12BF0EA4" w14:textId="77777777" w:rsidR="00611755" w:rsidRPr="00645BC1" w:rsidRDefault="00D87FB9" w:rsidP="00611755">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Animateur</w:t>
            </w:r>
          </w:p>
          <w:p w14:paraId="2707D739" w14:textId="01BB7BF7" w:rsidR="00611755" w:rsidRPr="00645BC1" w:rsidRDefault="00611755" w:rsidP="00611755">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14:paraId="270DC1DC" w14:textId="2227BB62" w:rsidR="00611755" w:rsidRPr="00645BC1" w:rsidRDefault="10B9C695" w:rsidP="00645BC1">
            <w:pPr>
              <w:pStyle w:val="TableContents"/>
              <w:spacing w:before="120" w:after="120"/>
              <w:rPr>
                <w:rFonts w:ascii="Verdana" w:hAnsi="Verdana" w:cs="Arial"/>
                <w:color w:val="1F497D"/>
                <w:sz w:val="20"/>
                <w:szCs w:val="20"/>
              </w:rPr>
            </w:pPr>
            <w:r w:rsidRPr="00645BC1">
              <w:rPr>
                <w:rFonts w:ascii="Verdana" w:hAnsi="Verdana" w:cs="Arial"/>
                <w:color w:val="1F497D"/>
                <w:sz w:val="20"/>
                <w:szCs w:val="20"/>
              </w:rPr>
              <w:t>Tour(s)plus et la Déléguée Départementale aux Droits des Femmes et à l'Egalité</w:t>
            </w:r>
          </w:p>
          <w:p w14:paraId="0AD47713" w14:textId="77777777" w:rsidR="003F33A7" w:rsidRPr="00645BC1" w:rsidRDefault="003F33A7" w:rsidP="00645BC1">
            <w:pPr>
              <w:pStyle w:val="TableContents"/>
              <w:spacing w:before="120" w:after="120"/>
              <w:rPr>
                <w:rFonts w:ascii="Verdana" w:hAnsi="Verdana" w:cs="Arial"/>
                <w:color w:val="1F497D"/>
                <w:sz w:val="20"/>
                <w:szCs w:val="20"/>
              </w:rPr>
            </w:pPr>
            <w:r w:rsidRPr="00645BC1">
              <w:rPr>
                <w:rFonts w:ascii="Verdana" w:hAnsi="Verdana" w:cs="Arial"/>
                <w:color w:val="1F497D"/>
                <w:sz w:val="20"/>
                <w:szCs w:val="20"/>
              </w:rPr>
              <w:t>Les villes</w:t>
            </w:r>
          </w:p>
        </w:tc>
      </w:tr>
      <w:tr w:rsidR="00611755" w:rsidRPr="00645BC1" w14:paraId="42CB59AB" w14:textId="77777777" w:rsidTr="10B9C695">
        <w:trPr>
          <w:trHeight w:val="95"/>
        </w:trPr>
        <w:tc>
          <w:tcPr>
            <w:tcW w:w="2775" w:type="dxa"/>
            <w:shd w:val="clear" w:color="auto" w:fill="B8CCE4" w:themeFill="accent1" w:themeFillTint="66"/>
          </w:tcPr>
          <w:p w14:paraId="23117FC4" w14:textId="77777777" w:rsidR="00611755" w:rsidRPr="00645BC1" w:rsidRDefault="00611755" w:rsidP="00611755">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Partenaires mobilisables (dont habitants)</w:t>
            </w:r>
          </w:p>
          <w:p w14:paraId="6B195D36" w14:textId="77777777" w:rsidR="00611755" w:rsidRPr="00645BC1" w:rsidRDefault="00611755" w:rsidP="00611755">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Dispositifs mobilisables</w:t>
            </w:r>
          </w:p>
          <w:p w14:paraId="7CFA83DE" w14:textId="1CB848A7" w:rsidR="00611755" w:rsidRPr="00645BC1" w:rsidRDefault="00611755" w:rsidP="00611755">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14:paraId="44C536A4" w14:textId="09439582" w:rsidR="10B9C695" w:rsidRPr="00645BC1" w:rsidRDefault="10B9C695" w:rsidP="10B9C695">
            <w:pPr>
              <w:spacing w:before="120" w:after="120"/>
              <w:jc w:val="both"/>
              <w:rPr>
                <w:rFonts w:ascii="Verdana" w:hAnsi="Verdana"/>
                <w:sz w:val="20"/>
                <w:szCs w:val="20"/>
              </w:rPr>
            </w:pPr>
            <w:r w:rsidRPr="00645BC1">
              <w:rPr>
                <w:rFonts w:ascii="Verdana" w:eastAsia="Verdana,Arial" w:hAnsi="Verdana" w:cs="Verdana,Arial"/>
                <w:color w:val="1F487C"/>
                <w:sz w:val="20"/>
                <w:szCs w:val="20"/>
                <w:u w:val="single"/>
              </w:rPr>
              <w:lastRenderedPageBreak/>
              <w:t>L</w:t>
            </w:r>
            <w:r w:rsidRPr="00645BC1">
              <w:rPr>
                <w:rFonts w:ascii="Verdana" w:eastAsia="Verdana,Arial" w:hAnsi="Verdana" w:cs="Verdana,Arial"/>
                <w:color w:val="365F91" w:themeColor="accent1" w:themeShade="BF"/>
                <w:sz w:val="20"/>
                <w:szCs w:val="20"/>
                <w:u w:val="single"/>
              </w:rPr>
              <w:t>es partenaires mobilisables </w:t>
            </w:r>
            <w:r w:rsidRPr="00645BC1">
              <w:rPr>
                <w:rFonts w:ascii="Verdana" w:eastAsia="Verdana,Arial" w:hAnsi="Verdana" w:cs="Verdana,Arial"/>
                <w:color w:val="365F91" w:themeColor="accent1" w:themeShade="BF"/>
                <w:sz w:val="20"/>
                <w:szCs w:val="20"/>
              </w:rPr>
              <w:t>: Etat, Région, Département, villes, Tou</w:t>
            </w:r>
            <w:r w:rsidR="00900BBB">
              <w:rPr>
                <w:rFonts w:ascii="Verdana" w:eastAsia="Verdana,Arial" w:hAnsi="Verdana" w:cs="Verdana,Arial"/>
                <w:color w:val="365F91" w:themeColor="accent1" w:themeShade="BF"/>
                <w:sz w:val="20"/>
                <w:szCs w:val="20"/>
              </w:rPr>
              <w:t>r</w:t>
            </w:r>
            <w:r w:rsidRPr="00645BC1">
              <w:rPr>
                <w:rFonts w:ascii="Verdana" w:eastAsia="Verdana,Arial" w:hAnsi="Verdana" w:cs="Verdana,Arial"/>
                <w:color w:val="365F91" w:themeColor="accent1" w:themeShade="BF"/>
                <w:sz w:val="20"/>
                <w:szCs w:val="20"/>
              </w:rPr>
              <w:t>(s)plus, DDCS, délégués-</w:t>
            </w:r>
            <w:proofErr w:type="spellStart"/>
            <w:r w:rsidRPr="00645BC1">
              <w:rPr>
                <w:rFonts w:ascii="Verdana" w:eastAsia="Verdana,Arial" w:hAnsi="Verdana" w:cs="Verdana,Arial"/>
                <w:color w:val="365F91" w:themeColor="accent1" w:themeShade="BF"/>
                <w:sz w:val="20"/>
                <w:szCs w:val="20"/>
              </w:rPr>
              <w:t>ées</w:t>
            </w:r>
            <w:proofErr w:type="spellEnd"/>
            <w:r w:rsidRPr="00645BC1">
              <w:rPr>
                <w:rFonts w:ascii="Verdana" w:eastAsia="Verdana,Arial" w:hAnsi="Verdana" w:cs="Verdana,Arial"/>
                <w:color w:val="365F91" w:themeColor="accent1" w:themeShade="BF"/>
                <w:sz w:val="20"/>
                <w:szCs w:val="20"/>
              </w:rPr>
              <w:t xml:space="preserve"> du préfet, centres sociaux, associations, bailleurs, police nationale, police municipale. </w:t>
            </w:r>
            <w:r w:rsidRPr="00645BC1">
              <w:rPr>
                <w:rFonts w:ascii="Verdana" w:hAnsi="Verdana"/>
                <w:color w:val="365F91" w:themeColor="accent1" w:themeShade="BF"/>
                <w:sz w:val="20"/>
                <w:szCs w:val="20"/>
              </w:rPr>
              <w:t xml:space="preserve">Tous les partenaires des </w:t>
            </w:r>
            <w:r w:rsidR="00900BBB">
              <w:rPr>
                <w:rFonts w:ascii="Verdana" w:hAnsi="Verdana"/>
                <w:color w:val="365F91" w:themeColor="accent1" w:themeShade="BF"/>
                <w:sz w:val="20"/>
                <w:szCs w:val="20"/>
              </w:rPr>
              <w:t>4</w:t>
            </w:r>
            <w:r w:rsidRPr="00645BC1">
              <w:rPr>
                <w:rFonts w:ascii="Verdana" w:hAnsi="Verdana"/>
                <w:color w:val="365F91" w:themeColor="accent1" w:themeShade="BF"/>
                <w:sz w:val="20"/>
                <w:szCs w:val="20"/>
              </w:rPr>
              <w:t xml:space="preserve"> piliers doivent être en mesure de fournir des données sexuées</w:t>
            </w:r>
          </w:p>
          <w:p w14:paraId="6A97E44F" w14:textId="181FF50A" w:rsidR="003F33A7" w:rsidRPr="00645BC1" w:rsidRDefault="10B9C695" w:rsidP="00611755">
            <w:pPr>
              <w:tabs>
                <w:tab w:val="left" w:pos="1440"/>
              </w:tabs>
              <w:spacing w:before="120" w:after="120"/>
              <w:jc w:val="both"/>
              <w:rPr>
                <w:rFonts w:ascii="Verdana" w:hAnsi="Verdana" w:cs="Arial"/>
                <w:color w:val="1F497D"/>
                <w:sz w:val="20"/>
                <w:szCs w:val="20"/>
                <w:u w:val="single"/>
              </w:rPr>
            </w:pPr>
            <w:r w:rsidRPr="00645BC1">
              <w:rPr>
                <w:rFonts w:ascii="Verdana" w:eastAsia="Verdana,Arial" w:hAnsi="Verdana" w:cs="Verdana,Arial"/>
                <w:color w:val="365F91" w:themeColor="accent1" w:themeShade="BF"/>
                <w:sz w:val="20"/>
                <w:szCs w:val="20"/>
                <w:u w:val="single"/>
              </w:rPr>
              <w:lastRenderedPageBreak/>
              <w:t>Les dispositifs</w:t>
            </w:r>
            <w:r w:rsidRPr="00645BC1">
              <w:rPr>
                <w:rFonts w:ascii="Verdana" w:eastAsia="Verdana,Arial" w:hAnsi="Verdana" w:cs="Verdana,Arial"/>
                <w:color w:val="365F91" w:themeColor="accent1" w:themeShade="BF"/>
                <w:sz w:val="20"/>
                <w:szCs w:val="20"/>
              </w:rPr>
              <w:t> : CLSPD, lien avec la cellule discrimination, ASV</w:t>
            </w:r>
          </w:p>
        </w:tc>
      </w:tr>
      <w:tr w:rsidR="00611755" w:rsidRPr="00645BC1" w14:paraId="35DFE9D4" w14:textId="77777777" w:rsidTr="10B9C695">
        <w:tc>
          <w:tcPr>
            <w:tcW w:w="2775" w:type="dxa"/>
            <w:shd w:val="clear" w:color="auto" w:fill="B8CCE4" w:themeFill="accent1" w:themeFillTint="66"/>
          </w:tcPr>
          <w:p w14:paraId="26F9E1C1" w14:textId="77777777" w:rsidR="00611755" w:rsidRPr="00645BC1" w:rsidRDefault="00611755" w:rsidP="00611755">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lastRenderedPageBreak/>
              <w:t>Financements mobilisables</w:t>
            </w:r>
          </w:p>
          <w:p w14:paraId="05C3A09C" w14:textId="64C7F6BF" w:rsidR="00611755" w:rsidRPr="00645BC1" w:rsidRDefault="00611755" w:rsidP="00611755">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14:paraId="5979BBA0" w14:textId="3323A706" w:rsidR="00611755" w:rsidRPr="00645BC1" w:rsidRDefault="10B9C695" w:rsidP="00611755">
            <w:pPr>
              <w:pStyle w:val="TableContents"/>
              <w:spacing w:before="120" w:after="120"/>
              <w:rPr>
                <w:rFonts w:ascii="Verdana" w:hAnsi="Verdana" w:cs="Arial"/>
                <w:color w:val="1F497D"/>
                <w:sz w:val="20"/>
                <w:szCs w:val="20"/>
                <w:u w:val="single"/>
              </w:rPr>
            </w:pPr>
            <w:r w:rsidRPr="00645BC1">
              <w:rPr>
                <w:rFonts w:ascii="Verdana" w:eastAsia="Verdana,Arial" w:hAnsi="Verdana" w:cs="Verdana,Arial"/>
                <w:color w:val="1F497D" w:themeColor="text2"/>
                <w:sz w:val="20"/>
                <w:szCs w:val="20"/>
                <w:u w:val="single"/>
              </w:rPr>
              <w:t xml:space="preserve">Financement de droit commun </w:t>
            </w:r>
            <w:r w:rsidRPr="00645BC1">
              <w:rPr>
                <w:rFonts w:ascii="Verdana" w:eastAsia="Verdana,Arial" w:hAnsi="Verdana" w:cs="Verdana,Arial"/>
                <w:color w:val="1F497D" w:themeColor="text2"/>
                <w:sz w:val="20"/>
                <w:szCs w:val="20"/>
              </w:rPr>
              <w:t xml:space="preserve"> Etat, Conseil départemental, Villes</w:t>
            </w:r>
          </w:p>
          <w:p w14:paraId="56407B8F" w14:textId="00CB413F" w:rsidR="003F33A7" w:rsidRPr="00645BC1" w:rsidRDefault="10B9C695" w:rsidP="00900BBB">
            <w:pPr>
              <w:pStyle w:val="TableContents"/>
              <w:spacing w:before="120" w:after="120"/>
              <w:rPr>
                <w:rFonts w:ascii="Verdana" w:hAnsi="Verdana" w:cs="Arial"/>
                <w:color w:val="1F497D"/>
                <w:sz w:val="20"/>
                <w:szCs w:val="20"/>
                <w:u w:val="single"/>
              </w:rPr>
            </w:pPr>
            <w:r w:rsidRPr="00645BC1">
              <w:rPr>
                <w:rFonts w:ascii="Verdana" w:eastAsia="Verdana,Arial" w:hAnsi="Verdana" w:cs="Verdana,Arial"/>
                <w:color w:val="1F497D" w:themeColor="text2"/>
                <w:sz w:val="20"/>
                <w:szCs w:val="20"/>
                <w:u w:val="single"/>
              </w:rPr>
              <w:t xml:space="preserve">Financement spécifique : </w:t>
            </w:r>
            <w:r w:rsidRPr="00645BC1">
              <w:rPr>
                <w:rFonts w:ascii="Verdana" w:eastAsia="Verdana,Arial" w:hAnsi="Verdana" w:cs="Verdana,Arial"/>
                <w:color w:val="1F497D" w:themeColor="text2"/>
                <w:sz w:val="20"/>
                <w:szCs w:val="20"/>
              </w:rPr>
              <w:t>enveloppe politique de la ville</w:t>
            </w:r>
            <w:bookmarkStart w:id="0" w:name="_GoBack"/>
            <w:bookmarkEnd w:id="0"/>
            <w:r w:rsidRPr="00645BC1">
              <w:rPr>
                <w:rFonts w:ascii="Verdana" w:eastAsia="Verdana,Arial" w:hAnsi="Verdana" w:cs="Verdana,Arial"/>
                <w:color w:val="1F497D" w:themeColor="text2"/>
                <w:sz w:val="20"/>
                <w:szCs w:val="20"/>
              </w:rPr>
              <w:t>, FIPD</w:t>
            </w:r>
          </w:p>
        </w:tc>
      </w:tr>
      <w:tr w:rsidR="00611755" w:rsidRPr="00645BC1" w14:paraId="5F90718B" w14:textId="77777777" w:rsidTr="10B9C695">
        <w:trPr>
          <w:trHeight w:val="272"/>
        </w:trPr>
        <w:tc>
          <w:tcPr>
            <w:tcW w:w="2775" w:type="dxa"/>
            <w:shd w:val="clear" w:color="auto" w:fill="B8CCE4" w:themeFill="accent1" w:themeFillTint="66"/>
          </w:tcPr>
          <w:p w14:paraId="3694A59A" w14:textId="77777777" w:rsidR="00611755" w:rsidRPr="00645BC1" w:rsidRDefault="00611755" w:rsidP="00611755">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Calendrier</w:t>
            </w:r>
          </w:p>
          <w:p w14:paraId="5A451B98" w14:textId="6651F38C" w:rsidR="00611755" w:rsidRPr="00645BC1" w:rsidRDefault="00611755" w:rsidP="00611755">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14:paraId="610772E2" w14:textId="77777777" w:rsidR="00611755" w:rsidRPr="00645BC1" w:rsidRDefault="003F33A7" w:rsidP="00611755">
            <w:pPr>
              <w:pStyle w:val="TableContents"/>
              <w:spacing w:before="120" w:after="120"/>
              <w:jc w:val="both"/>
              <w:rPr>
                <w:rFonts w:ascii="Verdana" w:hAnsi="Verdana" w:cs="Arial"/>
                <w:color w:val="1F497D"/>
                <w:sz w:val="20"/>
                <w:szCs w:val="20"/>
              </w:rPr>
            </w:pPr>
            <w:r w:rsidRPr="00645BC1">
              <w:rPr>
                <w:rFonts w:ascii="Verdana" w:hAnsi="Verdana" w:cs="Arial"/>
                <w:color w:val="1F497D"/>
                <w:sz w:val="20"/>
                <w:szCs w:val="20"/>
              </w:rPr>
              <w:t>Au long du contrat de ville</w:t>
            </w:r>
          </w:p>
        </w:tc>
      </w:tr>
      <w:tr w:rsidR="005F0153" w:rsidRPr="00645BC1" w14:paraId="3DBFE328" w14:textId="77777777" w:rsidTr="10B9C695">
        <w:tc>
          <w:tcPr>
            <w:tcW w:w="2775" w:type="dxa"/>
            <w:shd w:val="clear" w:color="auto" w:fill="B8CCE4" w:themeFill="accent1" w:themeFillTint="66"/>
          </w:tcPr>
          <w:p w14:paraId="14D3E722" w14:textId="77777777" w:rsidR="005F0153" w:rsidRPr="00645BC1" w:rsidRDefault="005F0153" w:rsidP="005F0153">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indicateurs de réalisation</w:t>
            </w:r>
          </w:p>
          <w:p w14:paraId="21A14EE2" w14:textId="70F92CDB" w:rsidR="005F0153" w:rsidRPr="00645BC1" w:rsidRDefault="005F0153" w:rsidP="00645BC1">
            <w:pPr>
              <w:pStyle w:val="TableContents"/>
              <w:spacing w:before="120" w:after="120"/>
              <w:ind w:right="-10"/>
              <w:rPr>
                <w:rFonts w:ascii="Verdana" w:hAnsi="Verdana" w:cs="Verdana"/>
                <w:b/>
                <w:bCs/>
                <w:color w:val="1F497D"/>
                <w:sz w:val="20"/>
                <w:szCs w:val="20"/>
              </w:rPr>
            </w:pPr>
          </w:p>
        </w:tc>
        <w:tc>
          <w:tcPr>
            <w:tcW w:w="8079" w:type="dxa"/>
            <w:shd w:val="clear" w:color="auto" w:fill="B8CCE4" w:themeFill="accent1" w:themeFillTint="66"/>
          </w:tcPr>
          <w:p w14:paraId="6FFFAB35" w14:textId="4F419ADB" w:rsidR="003F33A7" w:rsidRPr="00645BC1" w:rsidRDefault="10B9C695" w:rsidP="10B9C695">
            <w:pPr>
              <w:pStyle w:val="Paragraphedeliste"/>
              <w:numPr>
                <w:ilvl w:val="0"/>
                <w:numId w:val="8"/>
              </w:numPr>
              <w:spacing w:before="120" w:after="120"/>
              <w:jc w:val="both"/>
              <w:rPr>
                <w:rFonts w:ascii="Verdana" w:eastAsia="Verdana,Arial" w:hAnsi="Verdana" w:cs="Verdana,Arial"/>
                <w:color w:val="365F91" w:themeColor="accent1" w:themeShade="BF"/>
                <w:sz w:val="20"/>
                <w:szCs w:val="20"/>
              </w:rPr>
            </w:pPr>
            <w:r w:rsidRPr="00645BC1">
              <w:rPr>
                <w:rFonts w:ascii="Verdana" w:eastAsia="Verdana,Arial" w:hAnsi="Verdana" w:cs="Verdana,Arial"/>
                <w:color w:val="365F91" w:themeColor="accent1" w:themeShade="BF"/>
                <w:sz w:val="20"/>
                <w:szCs w:val="20"/>
              </w:rPr>
              <w:t>Les indicateurs intégrés dans les conventions</w:t>
            </w:r>
          </w:p>
          <w:p w14:paraId="7005C1BB" w14:textId="130692D0" w:rsidR="003F33A7" w:rsidRPr="00645BC1" w:rsidRDefault="10B9C695" w:rsidP="10B9C695">
            <w:pPr>
              <w:pStyle w:val="Paragraphedeliste"/>
              <w:numPr>
                <w:ilvl w:val="0"/>
                <w:numId w:val="8"/>
              </w:numPr>
              <w:spacing w:before="120" w:after="120"/>
              <w:jc w:val="both"/>
              <w:rPr>
                <w:rFonts w:ascii="Verdana" w:eastAsia="Verdana,Arial" w:hAnsi="Verdana" w:cs="Verdana,Arial"/>
                <w:color w:val="365F91" w:themeColor="accent1" w:themeShade="BF"/>
                <w:sz w:val="20"/>
                <w:szCs w:val="20"/>
              </w:rPr>
            </w:pPr>
            <w:r w:rsidRPr="00645BC1">
              <w:rPr>
                <w:rFonts w:ascii="Verdana" w:eastAsia="Verdana,Arial" w:hAnsi="Verdana" w:cs="Verdana,Arial"/>
                <w:color w:val="365F91" w:themeColor="accent1" w:themeShade="BF"/>
                <w:sz w:val="20"/>
                <w:szCs w:val="20"/>
              </w:rPr>
              <w:t xml:space="preserve">la réalisation de plans d'actions dans les quartiers </w:t>
            </w:r>
          </w:p>
        </w:tc>
      </w:tr>
      <w:tr w:rsidR="00D87FB9" w:rsidRPr="00645BC1" w14:paraId="572B28D0" w14:textId="77777777" w:rsidTr="10B9C695">
        <w:tc>
          <w:tcPr>
            <w:tcW w:w="2775" w:type="dxa"/>
            <w:shd w:val="clear" w:color="auto" w:fill="B8CCE4" w:themeFill="accent1" w:themeFillTint="66"/>
          </w:tcPr>
          <w:p w14:paraId="614F980A" w14:textId="77777777" w:rsidR="00D87FB9" w:rsidRPr="00645BC1" w:rsidRDefault="00D87FB9" w:rsidP="00D87FB9">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Indicateurs d’effets</w:t>
            </w:r>
          </w:p>
          <w:p w14:paraId="04D5B1D4" w14:textId="223AB616" w:rsidR="00D87FB9" w:rsidRPr="00645BC1" w:rsidRDefault="00D87FB9" w:rsidP="00D87FB9">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14:paraId="5DF99671" w14:textId="3E1B1903" w:rsidR="00D87FB9" w:rsidRPr="00645BC1" w:rsidRDefault="10B9C695" w:rsidP="10B9C695">
            <w:pPr>
              <w:pStyle w:val="Paragraphedeliste"/>
              <w:numPr>
                <w:ilvl w:val="0"/>
                <w:numId w:val="9"/>
              </w:numPr>
              <w:spacing w:before="120" w:after="120"/>
              <w:jc w:val="both"/>
              <w:rPr>
                <w:rFonts w:ascii="Verdana" w:eastAsia="Verdana,Arial" w:hAnsi="Verdana" w:cs="Verdana,Arial"/>
                <w:color w:val="1F497D"/>
                <w:sz w:val="20"/>
                <w:szCs w:val="20"/>
              </w:rPr>
            </w:pPr>
            <w:r w:rsidRPr="00645BC1">
              <w:rPr>
                <w:rFonts w:ascii="Verdana" w:eastAsia="Verdana,Arial" w:hAnsi="Verdana" w:cs="Verdana,Arial"/>
                <w:color w:val="1F497D" w:themeColor="text2"/>
                <w:sz w:val="20"/>
                <w:szCs w:val="20"/>
              </w:rPr>
              <w:t>Les données chiffrées issues des bilans des actions et des diagnostics de territoire</w:t>
            </w:r>
          </w:p>
          <w:p w14:paraId="7C8CAAE7" w14:textId="235E6C2C" w:rsidR="00D87FB9" w:rsidRPr="00645BC1" w:rsidRDefault="00D87FB9" w:rsidP="10B9C695">
            <w:pPr>
              <w:spacing w:before="120" w:after="120"/>
              <w:jc w:val="both"/>
              <w:rPr>
                <w:rFonts w:ascii="Verdana" w:hAnsi="Verdana" w:cs="Arial"/>
                <w:color w:val="1F497D"/>
                <w:sz w:val="20"/>
                <w:szCs w:val="20"/>
              </w:rPr>
            </w:pPr>
          </w:p>
        </w:tc>
      </w:tr>
      <w:tr w:rsidR="00611755" w:rsidRPr="00645BC1" w14:paraId="1FC7CD50" w14:textId="77777777" w:rsidTr="10B9C695">
        <w:tc>
          <w:tcPr>
            <w:tcW w:w="2775" w:type="dxa"/>
            <w:shd w:val="clear" w:color="auto" w:fill="B8CCE4" w:themeFill="accent1" w:themeFillTint="66"/>
          </w:tcPr>
          <w:p w14:paraId="68CDF9C0" w14:textId="77777777" w:rsidR="00611755" w:rsidRPr="00645BC1" w:rsidRDefault="00611755" w:rsidP="00611755">
            <w:pPr>
              <w:pStyle w:val="TableContents"/>
              <w:spacing w:before="120" w:after="120"/>
              <w:ind w:left="71" w:right="-10"/>
              <w:rPr>
                <w:rFonts w:ascii="Verdana" w:hAnsi="Verdana" w:cs="Verdana"/>
                <w:b/>
                <w:bCs/>
                <w:color w:val="1F497D"/>
                <w:sz w:val="20"/>
                <w:szCs w:val="20"/>
              </w:rPr>
            </w:pPr>
            <w:r w:rsidRPr="00645BC1">
              <w:rPr>
                <w:rFonts w:ascii="Verdana" w:hAnsi="Verdana" w:cs="Verdana"/>
                <w:b/>
                <w:bCs/>
                <w:color w:val="1F497D"/>
                <w:sz w:val="20"/>
                <w:szCs w:val="20"/>
              </w:rPr>
              <w:t>Liens autres enjeux / fiches « orientations opérationnelles »</w:t>
            </w:r>
          </w:p>
        </w:tc>
        <w:tc>
          <w:tcPr>
            <w:tcW w:w="8079" w:type="dxa"/>
            <w:shd w:val="clear" w:color="auto" w:fill="B8CCE4" w:themeFill="accent1" w:themeFillTint="66"/>
          </w:tcPr>
          <w:p w14:paraId="3007F980" w14:textId="6FD7A275" w:rsidR="00611755" w:rsidRPr="00645BC1" w:rsidRDefault="00645BC1" w:rsidP="00611755">
            <w:pPr>
              <w:spacing w:before="120" w:after="120"/>
              <w:jc w:val="both"/>
              <w:rPr>
                <w:rFonts w:ascii="Verdana" w:hAnsi="Verdana" w:cs="Arial"/>
                <w:color w:val="1F497D"/>
                <w:sz w:val="20"/>
                <w:szCs w:val="20"/>
              </w:rPr>
            </w:pPr>
            <w:r>
              <w:rPr>
                <w:rFonts w:ascii="Verdana" w:hAnsi="Verdana" w:cs="Arial"/>
                <w:color w:val="1F497D"/>
                <w:sz w:val="20"/>
                <w:szCs w:val="20"/>
              </w:rPr>
              <w:t>L’ensemble des fiches et axes transversaux</w:t>
            </w:r>
          </w:p>
        </w:tc>
      </w:tr>
    </w:tbl>
    <w:p w14:paraId="0CCD223E" w14:textId="77777777" w:rsidR="00611755" w:rsidRDefault="00611755" w:rsidP="008D57C0">
      <w:pPr>
        <w:pStyle w:val="WW-Standard"/>
        <w:tabs>
          <w:tab w:val="left" w:pos="5920"/>
        </w:tabs>
        <w:spacing w:after="57"/>
        <w:rPr>
          <w:rFonts w:ascii="Verdana" w:hAnsi="Verdana" w:cs="Verdana"/>
          <w:b/>
          <w:bCs/>
          <w:sz w:val="28"/>
          <w:szCs w:val="28"/>
        </w:rPr>
      </w:pPr>
    </w:p>
    <w:p w14:paraId="3C450C0F" w14:textId="77777777" w:rsidR="008D0202" w:rsidRDefault="008D0202">
      <w:pPr>
        <w:widowControl/>
        <w:suppressAutoHyphens w:val="0"/>
        <w:textAlignment w:val="auto"/>
        <w:rPr>
          <w:rFonts w:ascii="Verdana" w:hAnsi="Verdana" w:cs="Verdana"/>
          <w:b/>
          <w:bCs/>
          <w:color w:val="FFFFFF"/>
          <w:sz w:val="28"/>
          <w:szCs w:val="28"/>
        </w:rPr>
      </w:pPr>
    </w:p>
    <w:sectPr w:rsidR="008D0202" w:rsidSect="00A433C2">
      <w:footerReference w:type="default" r:id="rId11"/>
      <w:pgSz w:w="11906" w:h="16838" w:code="9"/>
      <w:pgMar w:top="454" w:right="567" w:bottom="737" w:left="56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86DE6C" w14:textId="77777777" w:rsidR="0082148C" w:rsidRDefault="0082148C" w:rsidP="00A03715">
      <w:pPr>
        <w:pStyle w:val="TableContents"/>
      </w:pPr>
      <w:r>
        <w:separator/>
      </w:r>
    </w:p>
  </w:endnote>
  <w:endnote w:type="continuationSeparator" w:id="0">
    <w:p w14:paraId="346D371C" w14:textId="77777777" w:rsidR="0082148C" w:rsidRDefault="0082148C"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Verdana,Aria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78823" w14:textId="77777777"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4B238311" w14:textId="77777777" w:rsidR="00652F55" w:rsidRDefault="00652F55" w:rsidP="00973B15">
    <w:pPr>
      <w:pStyle w:val="Pieddepage"/>
      <w:widowControl/>
      <w:jc w:val="right"/>
    </w:pPr>
    <w:r>
      <w:rPr>
        <w:rFonts w:ascii="Verdana" w:hAnsi="Verdana" w:cs="Verdana"/>
        <w:sz w:val="16"/>
        <w:szCs w:val="16"/>
      </w:rPr>
      <w:t xml:space="preserve">Fiche </w:t>
    </w:r>
    <w:r w:rsidR="00D87FB9">
      <w:rPr>
        <w:rFonts w:ascii="Verdana" w:hAnsi="Verdana" w:cs="Verdana"/>
        <w:sz w:val="16"/>
        <w:szCs w:val="16"/>
      </w:rPr>
      <w:t>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3D2022" w14:textId="77777777" w:rsidR="0082148C" w:rsidRDefault="0082148C" w:rsidP="00A03715">
      <w:pPr>
        <w:pStyle w:val="TableContents"/>
      </w:pPr>
      <w:r>
        <w:separator/>
      </w:r>
    </w:p>
  </w:footnote>
  <w:footnote w:type="continuationSeparator" w:id="0">
    <w:p w14:paraId="3D70EFD5" w14:textId="77777777" w:rsidR="0082148C" w:rsidRDefault="0082148C"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A8C47DC"/>
    <w:multiLevelType w:val="hybridMultilevel"/>
    <w:tmpl w:val="2CC03802"/>
    <w:lvl w:ilvl="0" w:tplc="58B6A71E">
      <w:start w:val="1"/>
      <w:numFmt w:val="bullet"/>
      <w:lvlText w:val=""/>
      <w:lvlJc w:val="left"/>
      <w:pPr>
        <w:ind w:left="720" w:hanging="360"/>
      </w:pPr>
      <w:rPr>
        <w:rFonts w:ascii="Wingdings 2" w:hAnsi="Wingdings 2"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91A7A87"/>
    <w:multiLevelType w:val="hybridMultilevel"/>
    <w:tmpl w:val="E1FAE130"/>
    <w:lvl w:ilvl="0" w:tplc="040C0001">
      <w:start w:val="1"/>
      <w:numFmt w:val="bullet"/>
      <w:lvlText w:val=""/>
      <w:lvlJc w:val="left"/>
      <w:pPr>
        <w:ind w:left="791" w:hanging="360"/>
      </w:pPr>
      <w:rPr>
        <w:rFonts w:ascii="Symbol" w:hAnsi="Symbol" w:hint="default"/>
      </w:rPr>
    </w:lvl>
    <w:lvl w:ilvl="1" w:tplc="040C0003">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7">
    <w:nsid w:val="5FA921C8"/>
    <w:multiLevelType w:val="hybridMultilevel"/>
    <w:tmpl w:val="4ACCD7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0D21885"/>
    <w:multiLevelType w:val="hybridMultilevel"/>
    <w:tmpl w:val="C0AC2B86"/>
    <w:lvl w:ilvl="0" w:tplc="00E6F73E">
      <w:start w:val="1"/>
      <w:numFmt w:val="bullet"/>
      <w:lvlText w:val=""/>
      <w:lvlJc w:val="left"/>
      <w:pPr>
        <w:ind w:left="720" w:hanging="360"/>
      </w:pPr>
      <w:rPr>
        <w:rFonts w:ascii="Symbol" w:hAnsi="Symbol" w:hint="default"/>
      </w:rPr>
    </w:lvl>
    <w:lvl w:ilvl="1" w:tplc="A4222494">
      <w:start w:val="1"/>
      <w:numFmt w:val="bullet"/>
      <w:lvlText w:val="o"/>
      <w:lvlJc w:val="left"/>
      <w:pPr>
        <w:ind w:left="1440" w:hanging="360"/>
      </w:pPr>
      <w:rPr>
        <w:rFonts w:ascii="Courier New" w:hAnsi="Courier New" w:hint="default"/>
      </w:rPr>
    </w:lvl>
    <w:lvl w:ilvl="2" w:tplc="BD5E6668">
      <w:start w:val="1"/>
      <w:numFmt w:val="bullet"/>
      <w:lvlText w:val=""/>
      <w:lvlJc w:val="left"/>
      <w:pPr>
        <w:ind w:left="2160" w:hanging="360"/>
      </w:pPr>
      <w:rPr>
        <w:rFonts w:ascii="Wingdings" w:hAnsi="Wingdings" w:hint="default"/>
      </w:rPr>
    </w:lvl>
    <w:lvl w:ilvl="3" w:tplc="FF5045C2">
      <w:start w:val="1"/>
      <w:numFmt w:val="bullet"/>
      <w:lvlText w:val=""/>
      <w:lvlJc w:val="left"/>
      <w:pPr>
        <w:ind w:left="2880" w:hanging="360"/>
      </w:pPr>
      <w:rPr>
        <w:rFonts w:ascii="Symbol" w:hAnsi="Symbol" w:hint="default"/>
      </w:rPr>
    </w:lvl>
    <w:lvl w:ilvl="4" w:tplc="7EB21504">
      <w:start w:val="1"/>
      <w:numFmt w:val="bullet"/>
      <w:lvlText w:val="o"/>
      <w:lvlJc w:val="left"/>
      <w:pPr>
        <w:ind w:left="3600" w:hanging="360"/>
      </w:pPr>
      <w:rPr>
        <w:rFonts w:ascii="Courier New" w:hAnsi="Courier New" w:hint="default"/>
      </w:rPr>
    </w:lvl>
    <w:lvl w:ilvl="5" w:tplc="81BC75E2">
      <w:start w:val="1"/>
      <w:numFmt w:val="bullet"/>
      <w:lvlText w:val=""/>
      <w:lvlJc w:val="left"/>
      <w:pPr>
        <w:ind w:left="4320" w:hanging="360"/>
      </w:pPr>
      <w:rPr>
        <w:rFonts w:ascii="Wingdings" w:hAnsi="Wingdings" w:hint="default"/>
      </w:rPr>
    </w:lvl>
    <w:lvl w:ilvl="6" w:tplc="DC0A18DE">
      <w:start w:val="1"/>
      <w:numFmt w:val="bullet"/>
      <w:lvlText w:val=""/>
      <w:lvlJc w:val="left"/>
      <w:pPr>
        <w:ind w:left="5040" w:hanging="360"/>
      </w:pPr>
      <w:rPr>
        <w:rFonts w:ascii="Symbol" w:hAnsi="Symbol" w:hint="default"/>
      </w:rPr>
    </w:lvl>
    <w:lvl w:ilvl="7" w:tplc="85DA9EE8">
      <w:start w:val="1"/>
      <w:numFmt w:val="bullet"/>
      <w:lvlText w:val="o"/>
      <w:lvlJc w:val="left"/>
      <w:pPr>
        <w:ind w:left="5760" w:hanging="360"/>
      </w:pPr>
      <w:rPr>
        <w:rFonts w:ascii="Courier New" w:hAnsi="Courier New" w:hint="default"/>
      </w:rPr>
    </w:lvl>
    <w:lvl w:ilvl="8" w:tplc="C0D8907C">
      <w:start w:val="1"/>
      <w:numFmt w:val="bullet"/>
      <w:lvlText w:val=""/>
      <w:lvlJc w:val="left"/>
      <w:pPr>
        <w:ind w:left="6480" w:hanging="360"/>
      </w:pPr>
      <w:rPr>
        <w:rFonts w:ascii="Wingdings" w:hAnsi="Wingdings" w:hint="default"/>
      </w:rPr>
    </w:lvl>
  </w:abstractNum>
  <w:abstractNum w:abstractNumId="9">
    <w:nsid w:val="64E31C41"/>
    <w:multiLevelType w:val="hybridMultilevel"/>
    <w:tmpl w:val="302A3158"/>
    <w:lvl w:ilvl="0" w:tplc="B650B70A">
      <w:start w:val="1"/>
      <w:numFmt w:val="bullet"/>
      <w:lvlText w:val=""/>
      <w:lvlJc w:val="left"/>
      <w:pPr>
        <w:ind w:left="791" w:hanging="360"/>
      </w:pPr>
      <w:rPr>
        <w:rFonts w:ascii="Symbol" w:hAnsi="Symbol" w:hint="default"/>
        <w:color w:val="002060"/>
      </w:rPr>
    </w:lvl>
    <w:lvl w:ilvl="1" w:tplc="040C0003">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num w:numId="1">
    <w:abstractNumId w:val="8"/>
  </w:num>
  <w:num w:numId="2">
    <w:abstractNumId w:val="1"/>
  </w:num>
  <w:num w:numId="3">
    <w:abstractNumId w:val="2"/>
  </w:num>
  <w:num w:numId="4">
    <w:abstractNumId w:val="3"/>
  </w:num>
  <w:num w:numId="5">
    <w:abstractNumId w:val="5"/>
  </w:num>
  <w:num w:numId="6">
    <w:abstractNumId w:val="0"/>
  </w:num>
  <w:num w:numId="7">
    <w:abstractNumId w:val="4"/>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A5"/>
    <w:rsid w:val="00015782"/>
    <w:rsid w:val="00031B19"/>
    <w:rsid w:val="000431FC"/>
    <w:rsid w:val="000966A5"/>
    <w:rsid w:val="000A3436"/>
    <w:rsid w:val="000A570C"/>
    <w:rsid w:val="000A5AC9"/>
    <w:rsid w:val="000F355B"/>
    <w:rsid w:val="001327C8"/>
    <w:rsid w:val="00141401"/>
    <w:rsid w:val="00157E13"/>
    <w:rsid w:val="0016489B"/>
    <w:rsid w:val="00172682"/>
    <w:rsid w:val="001A7443"/>
    <w:rsid w:val="001B5930"/>
    <w:rsid w:val="001C466A"/>
    <w:rsid w:val="00221F00"/>
    <w:rsid w:val="00233044"/>
    <w:rsid w:val="00243AF9"/>
    <w:rsid w:val="00251461"/>
    <w:rsid w:val="002650B0"/>
    <w:rsid w:val="002A5B58"/>
    <w:rsid w:val="003212A4"/>
    <w:rsid w:val="00332D5A"/>
    <w:rsid w:val="003420AD"/>
    <w:rsid w:val="00345404"/>
    <w:rsid w:val="00350E93"/>
    <w:rsid w:val="003744CB"/>
    <w:rsid w:val="00382101"/>
    <w:rsid w:val="003966A6"/>
    <w:rsid w:val="003B381A"/>
    <w:rsid w:val="003C58D3"/>
    <w:rsid w:val="003F074B"/>
    <w:rsid w:val="003F33A7"/>
    <w:rsid w:val="00403AC9"/>
    <w:rsid w:val="00405EFC"/>
    <w:rsid w:val="00440B37"/>
    <w:rsid w:val="00450F2B"/>
    <w:rsid w:val="0045548E"/>
    <w:rsid w:val="00481787"/>
    <w:rsid w:val="00491B35"/>
    <w:rsid w:val="00502539"/>
    <w:rsid w:val="00543505"/>
    <w:rsid w:val="00564CE8"/>
    <w:rsid w:val="005953E2"/>
    <w:rsid w:val="005A7B50"/>
    <w:rsid w:val="005F0153"/>
    <w:rsid w:val="00611755"/>
    <w:rsid w:val="00626CBC"/>
    <w:rsid w:val="00633A2F"/>
    <w:rsid w:val="00645BC1"/>
    <w:rsid w:val="00652F55"/>
    <w:rsid w:val="00693146"/>
    <w:rsid w:val="006A3BC2"/>
    <w:rsid w:val="006F3473"/>
    <w:rsid w:val="007358F5"/>
    <w:rsid w:val="00741C82"/>
    <w:rsid w:val="0074359D"/>
    <w:rsid w:val="0077389A"/>
    <w:rsid w:val="00773D44"/>
    <w:rsid w:val="0079748E"/>
    <w:rsid w:val="007A7B97"/>
    <w:rsid w:val="007B7D1F"/>
    <w:rsid w:val="007D246C"/>
    <w:rsid w:val="007D7354"/>
    <w:rsid w:val="007F401A"/>
    <w:rsid w:val="00806B91"/>
    <w:rsid w:val="0082148C"/>
    <w:rsid w:val="00821CE0"/>
    <w:rsid w:val="00825C0B"/>
    <w:rsid w:val="00827890"/>
    <w:rsid w:val="0083500C"/>
    <w:rsid w:val="00841AF9"/>
    <w:rsid w:val="00843724"/>
    <w:rsid w:val="00853E40"/>
    <w:rsid w:val="00860E13"/>
    <w:rsid w:val="0088450D"/>
    <w:rsid w:val="008D0202"/>
    <w:rsid w:val="008D57C0"/>
    <w:rsid w:val="008F41F9"/>
    <w:rsid w:val="00900BBB"/>
    <w:rsid w:val="00912C89"/>
    <w:rsid w:val="00926A6A"/>
    <w:rsid w:val="00934D6C"/>
    <w:rsid w:val="009520CB"/>
    <w:rsid w:val="009658AA"/>
    <w:rsid w:val="00973B15"/>
    <w:rsid w:val="0097477D"/>
    <w:rsid w:val="009910D0"/>
    <w:rsid w:val="009A172A"/>
    <w:rsid w:val="009C075F"/>
    <w:rsid w:val="00A03715"/>
    <w:rsid w:val="00A230D1"/>
    <w:rsid w:val="00A34D8D"/>
    <w:rsid w:val="00A433C2"/>
    <w:rsid w:val="00A60403"/>
    <w:rsid w:val="00A652EB"/>
    <w:rsid w:val="00A92F78"/>
    <w:rsid w:val="00AA02BF"/>
    <w:rsid w:val="00AA3D06"/>
    <w:rsid w:val="00AD0191"/>
    <w:rsid w:val="00AF6772"/>
    <w:rsid w:val="00B537E0"/>
    <w:rsid w:val="00B82553"/>
    <w:rsid w:val="00BE4175"/>
    <w:rsid w:val="00BE52CF"/>
    <w:rsid w:val="00BE6FC2"/>
    <w:rsid w:val="00C048D6"/>
    <w:rsid w:val="00C52CBA"/>
    <w:rsid w:val="00CA698C"/>
    <w:rsid w:val="00CC0218"/>
    <w:rsid w:val="00D13C3E"/>
    <w:rsid w:val="00D774B4"/>
    <w:rsid w:val="00D80E84"/>
    <w:rsid w:val="00D86EE0"/>
    <w:rsid w:val="00D87FB9"/>
    <w:rsid w:val="00DA6B8B"/>
    <w:rsid w:val="00DC0102"/>
    <w:rsid w:val="00ED7F39"/>
    <w:rsid w:val="00EE7747"/>
    <w:rsid w:val="00F04DC2"/>
    <w:rsid w:val="00F275A3"/>
    <w:rsid w:val="00F716D6"/>
    <w:rsid w:val="10B9C695"/>
    <w:rsid w:val="4691949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EB8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3F33A7"/>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3F33A7"/>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542056">
      <w:bodyDiv w:val="1"/>
      <w:marLeft w:val="0"/>
      <w:marRight w:val="0"/>
      <w:marTop w:val="0"/>
      <w:marBottom w:val="0"/>
      <w:divBdr>
        <w:top w:val="none" w:sz="0" w:space="0" w:color="auto"/>
        <w:left w:val="none" w:sz="0" w:space="0" w:color="auto"/>
        <w:bottom w:val="none" w:sz="0" w:space="0" w:color="auto"/>
        <w:right w:val="none" w:sz="0" w:space="0" w:color="auto"/>
      </w:divBdr>
    </w:div>
    <w:div w:id="65226891">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02841775">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44511567">
      <w:bodyDiv w:val="1"/>
      <w:marLeft w:val="0"/>
      <w:marRight w:val="0"/>
      <w:marTop w:val="0"/>
      <w:marBottom w:val="0"/>
      <w:divBdr>
        <w:top w:val="none" w:sz="0" w:space="0" w:color="auto"/>
        <w:left w:val="none" w:sz="0" w:space="0" w:color="auto"/>
        <w:bottom w:val="none" w:sz="0" w:space="0" w:color="auto"/>
        <w:right w:val="none" w:sz="0" w:space="0" w:color="auto"/>
      </w:divBdr>
    </w:div>
    <w:div w:id="167521197">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10446510">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329412107">
      <w:bodyDiv w:val="1"/>
      <w:marLeft w:val="0"/>
      <w:marRight w:val="0"/>
      <w:marTop w:val="0"/>
      <w:marBottom w:val="0"/>
      <w:divBdr>
        <w:top w:val="none" w:sz="0" w:space="0" w:color="auto"/>
        <w:left w:val="none" w:sz="0" w:space="0" w:color="auto"/>
        <w:bottom w:val="none" w:sz="0" w:space="0" w:color="auto"/>
        <w:right w:val="none" w:sz="0" w:space="0" w:color="auto"/>
      </w:divBdr>
    </w:div>
    <w:div w:id="351347609">
      <w:bodyDiv w:val="1"/>
      <w:marLeft w:val="0"/>
      <w:marRight w:val="0"/>
      <w:marTop w:val="0"/>
      <w:marBottom w:val="0"/>
      <w:divBdr>
        <w:top w:val="none" w:sz="0" w:space="0" w:color="auto"/>
        <w:left w:val="none" w:sz="0" w:space="0" w:color="auto"/>
        <w:bottom w:val="none" w:sz="0" w:space="0" w:color="auto"/>
        <w:right w:val="none" w:sz="0" w:space="0" w:color="auto"/>
      </w:divBdr>
    </w:div>
    <w:div w:id="435759496">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453644393">
      <w:bodyDiv w:val="1"/>
      <w:marLeft w:val="0"/>
      <w:marRight w:val="0"/>
      <w:marTop w:val="0"/>
      <w:marBottom w:val="0"/>
      <w:divBdr>
        <w:top w:val="none" w:sz="0" w:space="0" w:color="auto"/>
        <w:left w:val="none" w:sz="0" w:space="0" w:color="auto"/>
        <w:bottom w:val="none" w:sz="0" w:space="0" w:color="auto"/>
        <w:right w:val="none" w:sz="0" w:space="0" w:color="auto"/>
      </w:divBdr>
    </w:div>
    <w:div w:id="466896040">
      <w:bodyDiv w:val="1"/>
      <w:marLeft w:val="0"/>
      <w:marRight w:val="0"/>
      <w:marTop w:val="0"/>
      <w:marBottom w:val="0"/>
      <w:divBdr>
        <w:top w:val="none" w:sz="0" w:space="0" w:color="auto"/>
        <w:left w:val="none" w:sz="0" w:space="0" w:color="auto"/>
        <w:bottom w:val="none" w:sz="0" w:space="0" w:color="auto"/>
        <w:right w:val="none" w:sz="0" w:space="0" w:color="auto"/>
      </w:divBdr>
    </w:div>
    <w:div w:id="513955624">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12053528">
      <w:bodyDiv w:val="1"/>
      <w:marLeft w:val="0"/>
      <w:marRight w:val="0"/>
      <w:marTop w:val="0"/>
      <w:marBottom w:val="0"/>
      <w:divBdr>
        <w:top w:val="none" w:sz="0" w:space="0" w:color="auto"/>
        <w:left w:val="none" w:sz="0" w:space="0" w:color="auto"/>
        <w:bottom w:val="none" w:sz="0" w:space="0" w:color="auto"/>
        <w:right w:val="none" w:sz="0" w:space="0" w:color="auto"/>
      </w:divBdr>
    </w:div>
    <w:div w:id="625814975">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677467199">
      <w:bodyDiv w:val="1"/>
      <w:marLeft w:val="0"/>
      <w:marRight w:val="0"/>
      <w:marTop w:val="0"/>
      <w:marBottom w:val="0"/>
      <w:divBdr>
        <w:top w:val="none" w:sz="0" w:space="0" w:color="auto"/>
        <w:left w:val="none" w:sz="0" w:space="0" w:color="auto"/>
        <w:bottom w:val="none" w:sz="0" w:space="0" w:color="auto"/>
        <w:right w:val="none" w:sz="0" w:space="0" w:color="auto"/>
      </w:divBdr>
    </w:div>
    <w:div w:id="768962046">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878205751">
      <w:bodyDiv w:val="1"/>
      <w:marLeft w:val="0"/>
      <w:marRight w:val="0"/>
      <w:marTop w:val="0"/>
      <w:marBottom w:val="0"/>
      <w:divBdr>
        <w:top w:val="none" w:sz="0" w:space="0" w:color="auto"/>
        <w:left w:val="none" w:sz="0" w:space="0" w:color="auto"/>
        <w:bottom w:val="none" w:sz="0" w:space="0" w:color="auto"/>
        <w:right w:val="none" w:sz="0" w:space="0" w:color="auto"/>
      </w:divBdr>
    </w:div>
    <w:div w:id="896860576">
      <w:bodyDiv w:val="1"/>
      <w:marLeft w:val="0"/>
      <w:marRight w:val="0"/>
      <w:marTop w:val="0"/>
      <w:marBottom w:val="0"/>
      <w:divBdr>
        <w:top w:val="none" w:sz="0" w:space="0" w:color="auto"/>
        <w:left w:val="none" w:sz="0" w:space="0" w:color="auto"/>
        <w:bottom w:val="none" w:sz="0" w:space="0" w:color="auto"/>
        <w:right w:val="none" w:sz="0" w:space="0" w:color="auto"/>
      </w:divBdr>
    </w:div>
    <w:div w:id="934707190">
      <w:bodyDiv w:val="1"/>
      <w:marLeft w:val="0"/>
      <w:marRight w:val="0"/>
      <w:marTop w:val="0"/>
      <w:marBottom w:val="0"/>
      <w:divBdr>
        <w:top w:val="none" w:sz="0" w:space="0" w:color="auto"/>
        <w:left w:val="none" w:sz="0" w:space="0" w:color="auto"/>
        <w:bottom w:val="none" w:sz="0" w:space="0" w:color="auto"/>
        <w:right w:val="none" w:sz="0" w:space="0" w:color="auto"/>
      </w:divBdr>
    </w:div>
    <w:div w:id="940533770">
      <w:bodyDiv w:val="1"/>
      <w:marLeft w:val="0"/>
      <w:marRight w:val="0"/>
      <w:marTop w:val="0"/>
      <w:marBottom w:val="0"/>
      <w:divBdr>
        <w:top w:val="none" w:sz="0" w:space="0" w:color="auto"/>
        <w:left w:val="none" w:sz="0" w:space="0" w:color="auto"/>
        <w:bottom w:val="none" w:sz="0" w:space="0" w:color="auto"/>
        <w:right w:val="none" w:sz="0" w:space="0" w:color="auto"/>
      </w:divBdr>
    </w:div>
    <w:div w:id="95513795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084454555">
      <w:bodyDiv w:val="1"/>
      <w:marLeft w:val="0"/>
      <w:marRight w:val="0"/>
      <w:marTop w:val="0"/>
      <w:marBottom w:val="0"/>
      <w:divBdr>
        <w:top w:val="none" w:sz="0" w:space="0" w:color="auto"/>
        <w:left w:val="none" w:sz="0" w:space="0" w:color="auto"/>
        <w:bottom w:val="none" w:sz="0" w:space="0" w:color="auto"/>
        <w:right w:val="none" w:sz="0" w:space="0" w:color="auto"/>
      </w:divBdr>
    </w:div>
    <w:div w:id="1086346454">
      <w:bodyDiv w:val="1"/>
      <w:marLeft w:val="0"/>
      <w:marRight w:val="0"/>
      <w:marTop w:val="0"/>
      <w:marBottom w:val="0"/>
      <w:divBdr>
        <w:top w:val="none" w:sz="0" w:space="0" w:color="auto"/>
        <w:left w:val="none" w:sz="0" w:space="0" w:color="auto"/>
        <w:bottom w:val="none" w:sz="0" w:space="0" w:color="auto"/>
        <w:right w:val="none" w:sz="0" w:space="0" w:color="auto"/>
      </w:divBdr>
    </w:div>
    <w:div w:id="1086729751">
      <w:bodyDiv w:val="1"/>
      <w:marLeft w:val="0"/>
      <w:marRight w:val="0"/>
      <w:marTop w:val="0"/>
      <w:marBottom w:val="0"/>
      <w:divBdr>
        <w:top w:val="none" w:sz="0" w:space="0" w:color="auto"/>
        <w:left w:val="none" w:sz="0" w:space="0" w:color="auto"/>
        <w:bottom w:val="none" w:sz="0" w:space="0" w:color="auto"/>
        <w:right w:val="none" w:sz="0" w:space="0" w:color="auto"/>
      </w:divBdr>
    </w:div>
    <w:div w:id="1250231327">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0005183">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06439610">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559633700">
      <w:bodyDiv w:val="1"/>
      <w:marLeft w:val="0"/>
      <w:marRight w:val="0"/>
      <w:marTop w:val="0"/>
      <w:marBottom w:val="0"/>
      <w:divBdr>
        <w:top w:val="none" w:sz="0" w:space="0" w:color="auto"/>
        <w:left w:val="none" w:sz="0" w:space="0" w:color="auto"/>
        <w:bottom w:val="none" w:sz="0" w:space="0" w:color="auto"/>
        <w:right w:val="none" w:sz="0" w:space="0" w:color="auto"/>
      </w:divBdr>
    </w:div>
    <w:div w:id="1560674358">
      <w:bodyDiv w:val="1"/>
      <w:marLeft w:val="0"/>
      <w:marRight w:val="0"/>
      <w:marTop w:val="0"/>
      <w:marBottom w:val="0"/>
      <w:divBdr>
        <w:top w:val="none" w:sz="0" w:space="0" w:color="auto"/>
        <w:left w:val="none" w:sz="0" w:space="0" w:color="auto"/>
        <w:bottom w:val="none" w:sz="0" w:space="0" w:color="auto"/>
        <w:right w:val="none" w:sz="0" w:space="0" w:color="auto"/>
      </w:divBdr>
    </w:div>
    <w:div w:id="1561594670">
      <w:bodyDiv w:val="1"/>
      <w:marLeft w:val="0"/>
      <w:marRight w:val="0"/>
      <w:marTop w:val="0"/>
      <w:marBottom w:val="0"/>
      <w:divBdr>
        <w:top w:val="none" w:sz="0" w:space="0" w:color="auto"/>
        <w:left w:val="none" w:sz="0" w:space="0" w:color="auto"/>
        <w:bottom w:val="none" w:sz="0" w:space="0" w:color="auto"/>
        <w:right w:val="none" w:sz="0" w:space="0" w:color="auto"/>
      </w:divBdr>
    </w:div>
    <w:div w:id="1610315188">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37027104">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670332879">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36851186">
      <w:bodyDiv w:val="1"/>
      <w:marLeft w:val="0"/>
      <w:marRight w:val="0"/>
      <w:marTop w:val="0"/>
      <w:marBottom w:val="0"/>
      <w:divBdr>
        <w:top w:val="none" w:sz="0" w:space="0" w:color="auto"/>
        <w:left w:val="none" w:sz="0" w:space="0" w:color="auto"/>
        <w:bottom w:val="none" w:sz="0" w:space="0" w:color="auto"/>
        <w:right w:val="none" w:sz="0" w:space="0" w:color="auto"/>
      </w:divBdr>
    </w:div>
    <w:div w:id="1764109746">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005627715">
      <w:bodyDiv w:val="1"/>
      <w:marLeft w:val="0"/>
      <w:marRight w:val="0"/>
      <w:marTop w:val="0"/>
      <w:marBottom w:val="0"/>
      <w:divBdr>
        <w:top w:val="none" w:sz="0" w:space="0" w:color="auto"/>
        <w:left w:val="none" w:sz="0" w:space="0" w:color="auto"/>
        <w:bottom w:val="none" w:sz="0" w:space="0" w:color="auto"/>
        <w:right w:val="none" w:sz="0" w:space="0" w:color="auto"/>
      </w:divBdr>
    </w:div>
    <w:div w:id="2016153599">
      <w:bodyDiv w:val="1"/>
      <w:marLeft w:val="0"/>
      <w:marRight w:val="0"/>
      <w:marTop w:val="0"/>
      <w:marBottom w:val="0"/>
      <w:divBdr>
        <w:top w:val="none" w:sz="0" w:space="0" w:color="auto"/>
        <w:left w:val="none" w:sz="0" w:space="0" w:color="auto"/>
        <w:bottom w:val="none" w:sz="0" w:space="0" w:color="auto"/>
        <w:right w:val="none" w:sz="0" w:space="0" w:color="auto"/>
      </w:divBdr>
    </w:div>
    <w:div w:id="2033066752">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09A17E-07B2-4080-9AB4-822FC03B645E}">
  <ds:schemaRefs>
    <ds:schemaRef ds:uri="http://schemas.microsoft.com/sharepoint/v3/contenttype/forms"/>
  </ds:schemaRefs>
</ds:datastoreItem>
</file>

<file path=customXml/itemProps2.xml><?xml version="1.0" encoding="utf-8"?>
<ds:datastoreItem xmlns:ds="http://schemas.openxmlformats.org/officeDocument/2006/customXml" ds:itemID="{A9F98C5F-B384-41B6-866D-11C624EEC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0F8F08-282C-4F26-9DE2-FA534D1CDE05}">
  <ds:schemaRefs>
    <ds:schemaRef ds:uri="http://purl.org/dc/terms/"/>
    <ds:schemaRef ds:uri="c9f4b70c-db7f-4fd0-9b1d-ebaa300a76cc"/>
    <ds:schemaRef ds:uri="http://purl.org/dc/dcmitype/"/>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2612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4</cp:revision>
  <cp:lastPrinted>2015-05-27T07:28:00Z</cp:lastPrinted>
  <dcterms:created xsi:type="dcterms:W3CDTF">2015-07-15T08:39:00Z</dcterms:created>
  <dcterms:modified xsi:type="dcterms:W3CDTF">2015-07-16T08:06:00Z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