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D24" w:rsidRDefault="005002C3">
      <w:pPr>
        <w:pStyle w:val="WW-Standard"/>
        <w:spacing w:after="57"/>
        <w:jc w:val="center"/>
        <w:rPr>
          <w:rFonts w:ascii="Verdana" w:hAnsi="Verdana" w:cs="Verdana"/>
          <w:b/>
          <w:bCs/>
          <w:color w:val="17365D"/>
          <w:sz w:val="28"/>
          <w:szCs w:val="28"/>
        </w:rPr>
      </w:pPr>
      <w:r>
        <w:rPr>
          <w:rFonts w:ascii="Verdana" w:hAnsi="Verdana" w:cs="Verdana"/>
          <w:b/>
          <w:bCs/>
          <w:color w:val="17365D"/>
          <w:sz w:val="28"/>
          <w:szCs w:val="28"/>
        </w:rPr>
        <w:t>FICHE 4.4</w:t>
      </w:r>
      <w:r w:rsidR="00B90D24">
        <w:rPr>
          <w:rFonts w:ascii="Verdana" w:hAnsi="Verdana" w:cs="Verdana"/>
          <w:b/>
          <w:bCs/>
          <w:color w:val="17365D"/>
          <w:sz w:val="28"/>
          <w:szCs w:val="28"/>
        </w:rPr>
        <w:t>.3</w:t>
      </w:r>
    </w:p>
    <w:p w:rsidR="00B90D24" w:rsidRDefault="00B90D24">
      <w:pPr>
        <w:pStyle w:val="WW-Standard"/>
        <w:shd w:val="clear" w:color="auto" w:fill="1F497D"/>
        <w:spacing w:after="57"/>
        <w:jc w:val="center"/>
        <w:rPr>
          <w:rFonts w:ascii="Verdana" w:hAnsi="Verdana" w:cs="Verdana"/>
          <w:b/>
          <w:bCs/>
          <w:color w:val="FFFFFF"/>
          <w:sz w:val="28"/>
          <w:szCs w:val="28"/>
        </w:rPr>
      </w:pPr>
      <w:r>
        <w:rPr>
          <w:rFonts w:ascii="Verdana" w:hAnsi="Verdana" w:cs="Verdana"/>
          <w:b/>
          <w:bCs/>
          <w:color w:val="FFFFFF"/>
          <w:sz w:val="28"/>
          <w:szCs w:val="28"/>
        </w:rPr>
        <w:t xml:space="preserve">Lutter contre le sentiment de délaissement </w:t>
      </w:r>
      <w:r w:rsidRPr="006C11BF">
        <w:rPr>
          <w:rFonts w:ascii="Verdana" w:hAnsi="Verdana" w:cs="Verdana"/>
          <w:b/>
          <w:bCs/>
          <w:color w:val="FFFFFF"/>
          <w:sz w:val="28"/>
          <w:szCs w:val="28"/>
        </w:rPr>
        <w:t>et d’exclusion</w:t>
      </w:r>
    </w:p>
    <w:p w:rsidR="00B90D24" w:rsidRDefault="00B90D24">
      <w:pPr>
        <w:pStyle w:val="WW-Standard"/>
        <w:spacing w:after="57"/>
        <w:jc w:val="center"/>
        <w:rPr>
          <w:rFonts w:ascii="Verdana" w:hAnsi="Verdana" w:cs="Verdana"/>
          <w:b/>
          <w:bCs/>
          <w:sz w:val="20"/>
          <w:szCs w:val="20"/>
        </w:rPr>
      </w:pPr>
    </w:p>
    <w:tbl>
      <w:tblPr>
        <w:tblW w:w="10675" w:type="dxa"/>
        <w:tblInd w:w="10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3" w:type="dxa"/>
        </w:tblCellMar>
        <w:tblLook w:val="00A0"/>
      </w:tblPr>
      <w:tblGrid>
        <w:gridCol w:w="4253"/>
        <w:gridCol w:w="6422"/>
      </w:tblGrid>
      <w:tr w:rsidR="00B90D24" w:rsidTr="006C11BF">
        <w:trPr>
          <w:trHeight w:val="754"/>
        </w:trPr>
        <w:tc>
          <w:tcPr>
            <w:tcW w:w="4253" w:type="dxa"/>
            <w:shd w:val="clear" w:color="auto" w:fill="B8CCE4"/>
            <w:tcMar>
              <w:left w:w="103" w:type="dxa"/>
            </w:tcMar>
            <w:vAlign w:val="center"/>
          </w:tcPr>
          <w:p w:rsidR="00B90D24" w:rsidRDefault="00B90D24">
            <w:pPr>
              <w:pStyle w:val="Contenudetableau"/>
              <w:rPr>
                <w:rFonts w:ascii="Verdana" w:hAnsi="Verdana" w:cs="Verdana"/>
                <w:b/>
                <w:bCs/>
                <w:color w:val="1F497D"/>
                <w:sz w:val="20"/>
                <w:szCs w:val="20"/>
              </w:rPr>
            </w:pPr>
            <w:r>
              <w:rPr>
                <w:rFonts w:ascii="Verdana" w:hAnsi="Verdana" w:cs="Verdana"/>
                <w:b/>
                <w:bCs/>
                <w:color w:val="1F497D"/>
                <w:sz w:val="20"/>
                <w:szCs w:val="20"/>
              </w:rPr>
              <w:t>Pilier 4 Valeur</w:t>
            </w:r>
            <w:r w:rsidR="006C11BF">
              <w:rPr>
                <w:rFonts w:ascii="Verdana" w:hAnsi="Verdana" w:cs="Verdana"/>
                <w:b/>
                <w:bCs/>
                <w:color w:val="1F497D"/>
                <w:sz w:val="20"/>
                <w:szCs w:val="20"/>
              </w:rPr>
              <w:t>s</w:t>
            </w:r>
            <w:r>
              <w:rPr>
                <w:rFonts w:ascii="Verdana" w:hAnsi="Verdana" w:cs="Verdana"/>
                <w:b/>
                <w:bCs/>
                <w:color w:val="1F497D"/>
                <w:sz w:val="20"/>
                <w:szCs w:val="20"/>
              </w:rPr>
              <w:t xml:space="preserve"> de la République</w:t>
            </w:r>
          </w:p>
          <w:p w:rsidR="00B90D24" w:rsidRDefault="006C11BF">
            <w:pPr>
              <w:pStyle w:val="Contenudetableau"/>
              <w:rPr>
                <w:rFonts w:ascii="Verdana" w:hAnsi="Verdana" w:cs="Verdana"/>
                <w:b/>
                <w:bCs/>
                <w:color w:val="1F497D"/>
                <w:sz w:val="20"/>
                <w:szCs w:val="20"/>
              </w:rPr>
            </w:pPr>
            <w:r>
              <w:rPr>
                <w:rFonts w:ascii="Verdana" w:hAnsi="Verdana" w:cs="Verdana"/>
                <w:b/>
                <w:bCs/>
                <w:color w:val="1F497D"/>
                <w:sz w:val="20"/>
                <w:szCs w:val="20"/>
              </w:rPr>
              <w:t>Axe 4</w:t>
            </w:r>
            <w:r w:rsidR="00B90D24">
              <w:rPr>
                <w:rFonts w:ascii="Verdana" w:hAnsi="Verdana" w:cs="Verdana"/>
                <w:b/>
                <w:bCs/>
                <w:color w:val="1F497D"/>
                <w:sz w:val="20"/>
                <w:szCs w:val="20"/>
              </w:rPr>
              <w:t xml:space="preserve"> Prévention de la radicalisation</w:t>
            </w:r>
          </w:p>
        </w:tc>
        <w:tc>
          <w:tcPr>
            <w:tcW w:w="6422" w:type="dxa"/>
            <w:shd w:val="clear" w:color="auto" w:fill="B8CCE4"/>
            <w:tcMar>
              <w:left w:w="103" w:type="dxa"/>
            </w:tcMar>
            <w:vAlign w:val="center"/>
          </w:tcPr>
          <w:p w:rsidR="00B90D24" w:rsidRDefault="00B90D24" w:rsidP="006C11BF">
            <w:pPr>
              <w:pStyle w:val="Contenudetableau"/>
              <w:rPr>
                <w:rFonts w:ascii="Verdana" w:hAnsi="Verdana" w:cs="Verdana"/>
                <w:b/>
                <w:bCs/>
                <w:color w:val="1F497D"/>
                <w:sz w:val="20"/>
                <w:szCs w:val="20"/>
              </w:rPr>
            </w:pPr>
            <w:r>
              <w:rPr>
                <w:rFonts w:ascii="Verdana" w:hAnsi="Verdana" w:cs="Verdana"/>
                <w:b/>
                <w:bCs/>
                <w:color w:val="1F497D"/>
                <w:sz w:val="20"/>
                <w:szCs w:val="20"/>
              </w:rPr>
              <w:t xml:space="preserve">Enjeu : limiter la portée des discours radicaux jouant sur la frustration et le sentiment </w:t>
            </w:r>
            <w:r w:rsidRPr="006C11BF">
              <w:rPr>
                <w:rFonts w:ascii="Verdana" w:hAnsi="Verdana" w:cs="Verdana"/>
                <w:b/>
                <w:bCs/>
                <w:color w:val="1F497D"/>
                <w:sz w:val="20"/>
                <w:szCs w:val="20"/>
              </w:rPr>
              <w:t>d’exclusion</w:t>
            </w:r>
            <w:r>
              <w:rPr>
                <w:rFonts w:ascii="Verdana" w:hAnsi="Verdana" w:cs="Verdana"/>
                <w:b/>
                <w:bCs/>
                <w:color w:val="1F497D"/>
                <w:sz w:val="20"/>
                <w:szCs w:val="20"/>
              </w:rPr>
              <w:t xml:space="preserve"> </w:t>
            </w:r>
          </w:p>
        </w:tc>
      </w:tr>
    </w:tbl>
    <w:p w:rsidR="00B90D24" w:rsidRDefault="00B90D24">
      <w:pPr>
        <w:pStyle w:val="WW-Standard"/>
        <w:spacing w:after="57"/>
        <w:rPr>
          <w:rFonts w:ascii="Verdana" w:hAnsi="Verdana" w:cs="Verdana"/>
          <w:b/>
          <w:bCs/>
          <w:color w:val="1F497D"/>
          <w:sz w:val="20"/>
          <w:szCs w:val="20"/>
        </w:rPr>
      </w:pPr>
    </w:p>
    <w:tbl>
      <w:tblPr>
        <w:tblW w:w="10854" w:type="dxa"/>
        <w:tblInd w:w="-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5" w:type="dxa"/>
          <w:right w:w="10" w:type="dxa"/>
        </w:tblCellMar>
        <w:tblLook w:val="00A0"/>
      </w:tblPr>
      <w:tblGrid>
        <w:gridCol w:w="4263"/>
        <w:gridCol w:w="6591"/>
      </w:tblGrid>
      <w:tr w:rsidR="00B90D24" w:rsidTr="006C11BF">
        <w:trPr>
          <w:trHeight w:val="150"/>
        </w:trPr>
        <w:tc>
          <w:tcPr>
            <w:tcW w:w="4263" w:type="dxa"/>
            <w:shd w:val="clear" w:color="auto" w:fill="B8CCE4"/>
            <w:tcMar>
              <w:left w:w="5" w:type="dxa"/>
            </w:tcMar>
          </w:tcPr>
          <w:p w:rsidR="00B90D24" w:rsidRDefault="00B90D2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 xml:space="preserve">Contexte </w:t>
            </w:r>
          </w:p>
        </w:tc>
        <w:tc>
          <w:tcPr>
            <w:tcW w:w="6591" w:type="dxa"/>
            <w:shd w:val="clear" w:color="auto" w:fill="B8CCE4"/>
            <w:tcMar>
              <w:left w:w="5" w:type="dxa"/>
            </w:tcMar>
          </w:tcPr>
          <w:p w:rsidR="00B90D24" w:rsidRDefault="00B90D24">
            <w:pPr>
              <w:pStyle w:val="Contenudetableau"/>
              <w:ind w:left="123"/>
              <w:jc w:val="both"/>
            </w:pPr>
            <w:r>
              <w:t xml:space="preserve">Si la grande diversité des parcours en matière de radicalisation fait obstacle à toute tentative de systématisation, certaines catégories de profils sont néanmoins surreprésentées. La précarité sociale et affective, les difficultés scolaires, la fragilité psychologique, le passage par la petite délinquance apparaissent ainsi comme des dénominateurs communs de nombre de profils radicalisés. Les profils varient également d’un sexe à l’autre. Enfin, les radicaux sont issus de familles de catégories socioprofessionnelles, de cultures et de confessions variées. </w:t>
            </w:r>
          </w:p>
          <w:p w:rsidR="00B90D24" w:rsidRDefault="00B90D24">
            <w:pPr>
              <w:pStyle w:val="Contenudetableau"/>
              <w:ind w:left="123"/>
              <w:jc w:val="both"/>
            </w:pPr>
          </w:p>
          <w:p w:rsidR="00B90D24" w:rsidRDefault="00B90D24">
            <w:pPr>
              <w:pStyle w:val="Contenudetableau"/>
              <w:ind w:left="123"/>
              <w:jc w:val="both"/>
            </w:pPr>
            <w:r>
              <w:t>Dans le cadre des travaux qu’il a menés auprès d’enfants et de jeunes à Bruxelles, M. Bernard De Vos</w:t>
            </w:r>
            <w:r>
              <w:rPr>
                <w:rStyle w:val="Ancredenotedebasdepage"/>
              </w:rPr>
              <w:footnoteReference w:id="1"/>
            </w:r>
            <w:r>
              <w:t xml:space="preserve"> a identifié deux principales causes expliquant leur radicalisation: </w:t>
            </w:r>
          </w:p>
          <w:p w:rsidR="00B90D24" w:rsidRDefault="00B90D24">
            <w:pPr>
              <w:pStyle w:val="Contenudetableau"/>
              <w:numPr>
                <w:ilvl w:val="0"/>
                <w:numId w:val="2"/>
              </w:numPr>
              <w:jc w:val="both"/>
            </w:pPr>
            <w:r>
              <w:t xml:space="preserve">un sentiment de profonde injustice, de ségrégation ou de marginalisation, souvent dû à l’exclusion de la société «dominante» et à la discrimination dont eux-mêmes ou d’autres sont ou se sentent victimes (pour accéder à l’enseignement supérieur ou au marché du travail par exemple), </w:t>
            </w:r>
          </w:p>
          <w:p w:rsidR="00B90D24" w:rsidRDefault="00B90D24">
            <w:pPr>
              <w:pStyle w:val="Contenudetableau"/>
              <w:numPr>
                <w:ilvl w:val="0"/>
                <w:numId w:val="2"/>
              </w:numPr>
              <w:jc w:val="both"/>
            </w:pPr>
            <w:r>
              <w:t xml:space="preserve">l’absence d’un but social dans la vie, et le sentiment d’être inutile. </w:t>
            </w:r>
          </w:p>
        </w:tc>
      </w:tr>
      <w:tr w:rsidR="00B90D24" w:rsidTr="006C11BF">
        <w:trPr>
          <w:trHeight w:val="142"/>
        </w:trPr>
        <w:tc>
          <w:tcPr>
            <w:tcW w:w="4263" w:type="dxa"/>
            <w:shd w:val="clear" w:color="auto" w:fill="B8CCE4"/>
            <w:tcMar>
              <w:left w:w="5" w:type="dxa"/>
            </w:tcMar>
          </w:tcPr>
          <w:p w:rsidR="00B90D24" w:rsidRDefault="00B90D2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Objectifs et dynamiques</w:t>
            </w:r>
          </w:p>
          <w:p w:rsidR="00B90D24" w:rsidRDefault="00B90D24">
            <w:pPr>
              <w:pStyle w:val="Contenudetableau"/>
              <w:spacing w:before="120" w:after="120"/>
              <w:jc w:val="both"/>
              <w:rPr>
                <w:rFonts w:ascii="Verdana" w:hAnsi="Verdana" w:cs="Verdana"/>
                <w:i/>
                <w:iCs/>
                <w:color w:val="1F497D"/>
                <w:sz w:val="16"/>
                <w:szCs w:val="16"/>
              </w:rPr>
            </w:pPr>
          </w:p>
        </w:tc>
        <w:tc>
          <w:tcPr>
            <w:tcW w:w="6591" w:type="dxa"/>
            <w:shd w:val="clear" w:color="auto" w:fill="B8CCE4"/>
            <w:tcMar>
              <w:left w:w="5" w:type="dxa"/>
            </w:tcMar>
          </w:tcPr>
          <w:p w:rsidR="00B90D24" w:rsidRDefault="00B90D24">
            <w:pPr>
              <w:pStyle w:val="Contenudetableau"/>
              <w:numPr>
                <w:ilvl w:val="0"/>
                <w:numId w:val="1"/>
              </w:numPr>
            </w:pPr>
            <w:r>
              <w:t>Mettre en œuvre des actions et pratiques luttant contre le sentiment de délaissement, en particulier des adolescents et des jeunes de moins de 30 ans.</w:t>
            </w:r>
          </w:p>
          <w:p w:rsidR="00B90D24" w:rsidRDefault="00B90D24">
            <w:pPr>
              <w:pStyle w:val="Contenudetableau"/>
              <w:numPr>
                <w:ilvl w:val="0"/>
                <w:numId w:val="1"/>
              </w:numPr>
            </w:pPr>
            <w:r>
              <w:t>Favoriser des activités diversifiées permettant de valoriser les publics et de leur procurer un sentiment de fierté.</w:t>
            </w:r>
          </w:p>
        </w:tc>
      </w:tr>
      <w:tr w:rsidR="00B90D24" w:rsidTr="006C11BF">
        <w:trPr>
          <w:trHeight w:val="170"/>
        </w:trPr>
        <w:tc>
          <w:tcPr>
            <w:tcW w:w="4263" w:type="dxa"/>
            <w:shd w:val="clear" w:color="auto" w:fill="B8CCE4"/>
            <w:tcMar>
              <w:left w:w="5" w:type="dxa"/>
            </w:tcMar>
          </w:tcPr>
          <w:p w:rsidR="00B90D24" w:rsidRDefault="00B90D2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 xml:space="preserve">Réalisations attendues </w:t>
            </w:r>
          </w:p>
          <w:p w:rsidR="00B90D24" w:rsidRDefault="00B90D24">
            <w:pPr>
              <w:pStyle w:val="Contenudetableau"/>
              <w:spacing w:before="120" w:after="120"/>
              <w:rPr>
                <w:rFonts w:ascii="Verdana" w:hAnsi="Verdana" w:cs="Verdana"/>
                <w:b/>
                <w:bCs/>
                <w:color w:val="1F497D"/>
                <w:sz w:val="20"/>
                <w:szCs w:val="20"/>
              </w:rPr>
            </w:pPr>
          </w:p>
        </w:tc>
        <w:tc>
          <w:tcPr>
            <w:tcW w:w="6591" w:type="dxa"/>
            <w:shd w:val="clear" w:color="auto" w:fill="B8CCE4"/>
            <w:tcMar>
              <w:left w:w="5" w:type="dxa"/>
            </w:tcMar>
          </w:tcPr>
          <w:p w:rsidR="00B90D24" w:rsidRDefault="00B90D24">
            <w:pPr>
              <w:pStyle w:val="Contenudetableau"/>
              <w:numPr>
                <w:ilvl w:val="0"/>
                <w:numId w:val="1"/>
              </w:numPr>
            </w:pPr>
            <w:r>
              <w:t>Coordonner  présence humaine et offre de service au public dans chaque quartier, notamment en proposant des activités régulières renforçant la cohésion sociale (</w:t>
            </w:r>
            <w:proofErr w:type="spellStart"/>
            <w:r>
              <w:t>Cf</w:t>
            </w:r>
            <w:proofErr w:type="spellEnd"/>
            <w:r>
              <w:t xml:space="preserve"> fiches 4.1.1 / 4.1.3 / 4.1.5 / 4.2.2 / 4.2.4)</w:t>
            </w:r>
          </w:p>
          <w:p w:rsidR="00B90D24" w:rsidRDefault="00B90D24">
            <w:pPr>
              <w:pStyle w:val="Contenudetableau"/>
              <w:numPr>
                <w:ilvl w:val="0"/>
                <w:numId w:val="1"/>
              </w:numPr>
            </w:pPr>
            <w:r>
              <w:t>Favoriser des modes d’action consistant à aller vers le public là où il se trouve en complément des accueils fixes.</w:t>
            </w:r>
          </w:p>
        </w:tc>
      </w:tr>
      <w:tr w:rsidR="00B90D24" w:rsidTr="006C11BF">
        <w:tc>
          <w:tcPr>
            <w:tcW w:w="4263" w:type="dxa"/>
            <w:shd w:val="clear" w:color="auto" w:fill="B8CCE4"/>
            <w:tcMar>
              <w:left w:w="5" w:type="dxa"/>
            </w:tcMar>
          </w:tcPr>
          <w:p w:rsidR="00B90D24" w:rsidRDefault="00B90D2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Effets attendus</w:t>
            </w:r>
          </w:p>
        </w:tc>
        <w:tc>
          <w:tcPr>
            <w:tcW w:w="6591" w:type="dxa"/>
            <w:shd w:val="clear" w:color="auto" w:fill="B8CCE4"/>
            <w:tcMar>
              <w:left w:w="5" w:type="dxa"/>
            </w:tcMar>
          </w:tcPr>
          <w:p w:rsidR="00B90D24" w:rsidRDefault="00B90D24">
            <w:pPr>
              <w:pStyle w:val="Contenudetableau"/>
              <w:numPr>
                <w:ilvl w:val="0"/>
                <w:numId w:val="1"/>
              </w:numPr>
              <w:spacing w:before="120" w:after="120"/>
            </w:pPr>
            <w:r>
              <w:t>Rendre les jeunes adultes moins perméables aux discours radicaux</w:t>
            </w:r>
          </w:p>
        </w:tc>
      </w:tr>
      <w:tr w:rsidR="00B90D24" w:rsidTr="006C11BF">
        <w:tc>
          <w:tcPr>
            <w:tcW w:w="4263" w:type="dxa"/>
            <w:shd w:val="clear" w:color="auto" w:fill="B8CCE4"/>
            <w:tcMar>
              <w:left w:w="5" w:type="dxa"/>
            </w:tcMar>
          </w:tcPr>
          <w:p w:rsidR="00B90D24" w:rsidRDefault="00B90D2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Echelle Territoriale</w:t>
            </w:r>
          </w:p>
        </w:tc>
        <w:tc>
          <w:tcPr>
            <w:tcW w:w="6591" w:type="dxa"/>
            <w:shd w:val="clear" w:color="auto" w:fill="B8CCE4"/>
            <w:tcMar>
              <w:left w:w="5" w:type="dxa"/>
            </w:tcMar>
          </w:tcPr>
          <w:p w:rsidR="00B90D24" w:rsidRDefault="00B90D24">
            <w:pPr>
              <w:pStyle w:val="Contenudetableau"/>
              <w:numPr>
                <w:ilvl w:val="0"/>
                <w:numId w:val="1"/>
              </w:numPr>
              <w:spacing w:before="120" w:after="120"/>
            </w:pPr>
            <w:r>
              <w:t>A l’échelle de la Métropole, couverture de tous les quartiers</w:t>
            </w:r>
          </w:p>
        </w:tc>
      </w:tr>
      <w:tr w:rsidR="00B90D24" w:rsidTr="006C11BF">
        <w:tc>
          <w:tcPr>
            <w:tcW w:w="4263" w:type="dxa"/>
            <w:shd w:val="clear" w:color="auto" w:fill="B8CCE4"/>
            <w:tcMar>
              <w:left w:w="5" w:type="dxa"/>
            </w:tcMar>
          </w:tcPr>
          <w:p w:rsidR="00B90D24" w:rsidRDefault="00B90D2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Animateur</w:t>
            </w:r>
          </w:p>
        </w:tc>
        <w:tc>
          <w:tcPr>
            <w:tcW w:w="6591" w:type="dxa"/>
            <w:shd w:val="clear" w:color="auto" w:fill="B8CCE4"/>
            <w:tcMar>
              <w:left w:w="5" w:type="dxa"/>
            </w:tcMar>
          </w:tcPr>
          <w:p w:rsidR="00B90D24" w:rsidRDefault="00B90D24">
            <w:pPr>
              <w:pStyle w:val="Contenudetableau"/>
              <w:numPr>
                <w:ilvl w:val="0"/>
                <w:numId w:val="1"/>
              </w:numPr>
              <w:spacing w:before="120" w:after="120"/>
            </w:pPr>
            <w:r>
              <w:t>Préfecture</w:t>
            </w:r>
          </w:p>
          <w:p w:rsidR="00B90D24" w:rsidRDefault="00B90D24">
            <w:pPr>
              <w:pStyle w:val="Contenudetableau"/>
              <w:numPr>
                <w:ilvl w:val="0"/>
                <w:numId w:val="1"/>
              </w:numPr>
              <w:spacing w:before="120" w:after="120"/>
            </w:pPr>
            <w:r>
              <w:t>DDCS</w:t>
            </w:r>
          </w:p>
          <w:p w:rsidR="00B90D24" w:rsidRDefault="00B90D24">
            <w:pPr>
              <w:pStyle w:val="Contenudetableau"/>
              <w:numPr>
                <w:ilvl w:val="0"/>
                <w:numId w:val="1"/>
              </w:numPr>
              <w:spacing w:before="120" w:after="120"/>
            </w:pPr>
            <w:r>
              <w:t>Villes</w:t>
            </w:r>
          </w:p>
        </w:tc>
      </w:tr>
      <w:tr w:rsidR="00B90D24" w:rsidTr="006C11BF">
        <w:trPr>
          <w:trHeight w:val="95"/>
        </w:trPr>
        <w:tc>
          <w:tcPr>
            <w:tcW w:w="4263" w:type="dxa"/>
            <w:shd w:val="clear" w:color="auto" w:fill="B8CCE4"/>
            <w:tcMar>
              <w:left w:w="5" w:type="dxa"/>
            </w:tcMar>
          </w:tcPr>
          <w:p w:rsidR="00B90D24" w:rsidRDefault="00B90D2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Partenaires mobilisables (dont habitants)</w:t>
            </w:r>
          </w:p>
          <w:p w:rsidR="00B90D24" w:rsidRDefault="00B90D2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Dispositifs mobilisables</w:t>
            </w:r>
          </w:p>
        </w:tc>
        <w:tc>
          <w:tcPr>
            <w:tcW w:w="6591" w:type="dxa"/>
            <w:shd w:val="clear" w:color="auto" w:fill="B8CCE4"/>
            <w:tcMar>
              <w:left w:w="5" w:type="dxa"/>
            </w:tcMar>
          </w:tcPr>
          <w:p w:rsidR="00B90D24" w:rsidRDefault="00B90D24">
            <w:pPr>
              <w:pStyle w:val="Contenudetableau"/>
              <w:numPr>
                <w:ilvl w:val="0"/>
                <w:numId w:val="1"/>
              </w:numPr>
              <w:spacing w:before="120" w:after="120"/>
            </w:pPr>
            <w:r>
              <w:t>Centres sociaux</w:t>
            </w:r>
          </w:p>
          <w:p w:rsidR="00B90D24" w:rsidRDefault="00B90D24">
            <w:pPr>
              <w:pStyle w:val="Contenudetableau"/>
              <w:numPr>
                <w:ilvl w:val="0"/>
                <w:numId w:val="1"/>
              </w:numPr>
              <w:spacing w:before="120" w:after="120"/>
            </w:pPr>
            <w:r>
              <w:t>Educateurs spécialisés</w:t>
            </w:r>
          </w:p>
          <w:p w:rsidR="00B90D24" w:rsidRDefault="00B90D24">
            <w:pPr>
              <w:pStyle w:val="Contenudetableau"/>
              <w:numPr>
                <w:ilvl w:val="0"/>
                <w:numId w:val="1"/>
              </w:numPr>
              <w:spacing w:before="120" w:after="120"/>
            </w:pPr>
            <w:r>
              <w:lastRenderedPageBreak/>
              <w:t>Communes</w:t>
            </w:r>
          </w:p>
        </w:tc>
      </w:tr>
      <w:tr w:rsidR="00B90D24" w:rsidTr="006C11BF">
        <w:tc>
          <w:tcPr>
            <w:tcW w:w="4263" w:type="dxa"/>
            <w:shd w:val="clear" w:color="auto" w:fill="B8CCE4"/>
            <w:tcMar>
              <w:left w:w="5" w:type="dxa"/>
            </w:tcMar>
          </w:tcPr>
          <w:p w:rsidR="00B90D24" w:rsidRDefault="00B90D2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lastRenderedPageBreak/>
              <w:t>Financements mobilisables</w:t>
            </w:r>
          </w:p>
          <w:p w:rsidR="00B90D24" w:rsidRDefault="00B90D24">
            <w:pPr>
              <w:pStyle w:val="Contenudetableau"/>
              <w:spacing w:before="120" w:after="120"/>
              <w:rPr>
                <w:rFonts w:ascii="Verdana" w:hAnsi="Verdana" w:cs="Verdana"/>
                <w:b/>
                <w:bCs/>
                <w:color w:val="1F497D"/>
                <w:sz w:val="20"/>
                <w:szCs w:val="20"/>
              </w:rPr>
            </w:pPr>
          </w:p>
        </w:tc>
        <w:tc>
          <w:tcPr>
            <w:tcW w:w="6591" w:type="dxa"/>
            <w:shd w:val="clear" w:color="auto" w:fill="B8CCE4"/>
            <w:tcMar>
              <w:left w:w="5" w:type="dxa"/>
            </w:tcMar>
          </w:tcPr>
          <w:p w:rsidR="00B90D24" w:rsidRDefault="00B90D24">
            <w:pPr>
              <w:pStyle w:val="Contenudetableau"/>
              <w:numPr>
                <w:ilvl w:val="0"/>
                <w:numId w:val="1"/>
              </w:numPr>
              <w:spacing w:before="120" w:after="120"/>
            </w:pPr>
            <w:r>
              <w:t>Crédits du CGET (BOP 147)</w:t>
            </w:r>
          </w:p>
          <w:p w:rsidR="00B90D24" w:rsidRDefault="00B90D24">
            <w:pPr>
              <w:pStyle w:val="Contenudetableau"/>
              <w:numPr>
                <w:ilvl w:val="0"/>
                <w:numId w:val="1"/>
              </w:numPr>
              <w:spacing w:before="120" w:after="120"/>
            </w:pPr>
            <w:r>
              <w:t>Villes</w:t>
            </w:r>
          </w:p>
          <w:p w:rsidR="00B90D24" w:rsidRDefault="00B90D24">
            <w:pPr>
              <w:pStyle w:val="Contenudetableau"/>
              <w:numPr>
                <w:ilvl w:val="0"/>
                <w:numId w:val="1"/>
              </w:numPr>
              <w:spacing w:before="120" w:after="120"/>
            </w:pPr>
            <w:r>
              <w:t>Métropole</w:t>
            </w:r>
          </w:p>
          <w:p w:rsidR="00B90D24" w:rsidRDefault="00B90D24">
            <w:pPr>
              <w:pStyle w:val="Contenudetableau"/>
              <w:numPr>
                <w:ilvl w:val="0"/>
                <w:numId w:val="1"/>
              </w:numPr>
              <w:spacing w:before="120" w:after="120"/>
            </w:pPr>
            <w:r>
              <w:t>Conseil départemental</w:t>
            </w:r>
          </w:p>
        </w:tc>
      </w:tr>
      <w:tr w:rsidR="00B90D24" w:rsidTr="006C11BF">
        <w:trPr>
          <w:trHeight w:val="272"/>
        </w:trPr>
        <w:tc>
          <w:tcPr>
            <w:tcW w:w="4263" w:type="dxa"/>
            <w:shd w:val="clear" w:color="auto" w:fill="B8CCE4"/>
            <w:tcMar>
              <w:left w:w="5" w:type="dxa"/>
            </w:tcMar>
          </w:tcPr>
          <w:p w:rsidR="00B90D24" w:rsidRDefault="00B90D2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Calendrier</w:t>
            </w:r>
          </w:p>
        </w:tc>
        <w:tc>
          <w:tcPr>
            <w:tcW w:w="6591" w:type="dxa"/>
            <w:shd w:val="clear" w:color="auto" w:fill="B8CCE4"/>
            <w:tcMar>
              <w:left w:w="5" w:type="dxa"/>
            </w:tcMar>
          </w:tcPr>
          <w:p w:rsidR="00B90D24" w:rsidRDefault="00B90D24">
            <w:pPr>
              <w:pStyle w:val="Contenudetableau"/>
              <w:numPr>
                <w:ilvl w:val="0"/>
                <w:numId w:val="1"/>
              </w:numPr>
              <w:spacing w:before="120" w:after="120"/>
            </w:pPr>
            <w:r>
              <w:t>Actions annuelles</w:t>
            </w:r>
          </w:p>
        </w:tc>
      </w:tr>
      <w:tr w:rsidR="00B90D24" w:rsidTr="006C11BF">
        <w:tc>
          <w:tcPr>
            <w:tcW w:w="4263" w:type="dxa"/>
            <w:shd w:val="clear" w:color="auto" w:fill="B8CCE4"/>
            <w:tcMar>
              <w:left w:w="5" w:type="dxa"/>
            </w:tcMar>
          </w:tcPr>
          <w:p w:rsidR="00B90D24" w:rsidRDefault="00B90D2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Indicateurs de réalisation</w:t>
            </w:r>
          </w:p>
        </w:tc>
        <w:tc>
          <w:tcPr>
            <w:tcW w:w="6591" w:type="dxa"/>
            <w:shd w:val="clear" w:color="auto" w:fill="B8CCE4"/>
            <w:tcMar>
              <w:left w:w="5" w:type="dxa"/>
            </w:tcMar>
          </w:tcPr>
          <w:p w:rsidR="00B90D24" w:rsidRDefault="00B90D24">
            <w:pPr>
              <w:pStyle w:val="Contenudetableau"/>
              <w:numPr>
                <w:ilvl w:val="0"/>
                <w:numId w:val="1"/>
              </w:numPr>
              <w:spacing w:before="120" w:after="120"/>
            </w:pPr>
            <w:r>
              <w:t>Variable selon les types d’intervention</w:t>
            </w:r>
          </w:p>
        </w:tc>
      </w:tr>
      <w:tr w:rsidR="00B90D24" w:rsidTr="006C11BF">
        <w:tc>
          <w:tcPr>
            <w:tcW w:w="4263" w:type="dxa"/>
            <w:shd w:val="clear" w:color="auto" w:fill="B8CCE4"/>
            <w:tcMar>
              <w:left w:w="5" w:type="dxa"/>
            </w:tcMar>
          </w:tcPr>
          <w:p w:rsidR="00B90D24" w:rsidRDefault="00B90D2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Indicateurs d’effet</w:t>
            </w:r>
          </w:p>
        </w:tc>
        <w:tc>
          <w:tcPr>
            <w:tcW w:w="6591" w:type="dxa"/>
            <w:shd w:val="clear" w:color="auto" w:fill="B8CCE4"/>
            <w:tcMar>
              <w:left w:w="5" w:type="dxa"/>
            </w:tcMar>
          </w:tcPr>
          <w:p w:rsidR="00B90D24" w:rsidRDefault="00B90D24">
            <w:pPr>
              <w:pStyle w:val="Contenudetableau"/>
              <w:numPr>
                <w:ilvl w:val="0"/>
                <w:numId w:val="1"/>
              </w:numPr>
              <w:spacing w:before="120" w:after="120"/>
            </w:pPr>
          </w:p>
        </w:tc>
      </w:tr>
      <w:tr w:rsidR="00B90D24" w:rsidTr="006C11BF">
        <w:tc>
          <w:tcPr>
            <w:tcW w:w="4263" w:type="dxa"/>
            <w:shd w:val="clear" w:color="auto" w:fill="B8CCE4"/>
            <w:tcMar>
              <w:left w:w="5" w:type="dxa"/>
            </w:tcMar>
          </w:tcPr>
          <w:p w:rsidR="00B90D24" w:rsidRDefault="00B90D2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6591" w:type="dxa"/>
            <w:shd w:val="clear" w:color="auto" w:fill="B8CCE4"/>
            <w:tcMar>
              <w:left w:w="5" w:type="dxa"/>
            </w:tcMar>
          </w:tcPr>
          <w:p w:rsidR="00B90D24" w:rsidRDefault="00B90D24">
            <w:pPr>
              <w:pStyle w:val="Contenudetableau"/>
              <w:numPr>
                <w:ilvl w:val="0"/>
                <w:numId w:val="1"/>
              </w:numPr>
              <w:spacing w:before="120" w:after="120"/>
            </w:pPr>
            <w:r>
              <w:t>Actions éducatives</w:t>
            </w:r>
          </w:p>
          <w:p w:rsidR="00B90D24" w:rsidRDefault="00B90D24">
            <w:pPr>
              <w:pStyle w:val="Contenudetableau"/>
              <w:numPr>
                <w:ilvl w:val="0"/>
                <w:numId w:val="1"/>
              </w:numPr>
              <w:spacing w:before="120" w:after="120"/>
            </w:pPr>
            <w:r>
              <w:t>Educations aux médias</w:t>
            </w:r>
          </w:p>
          <w:p w:rsidR="00B90D24" w:rsidRDefault="00B90D24">
            <w:pPr>
              <w:pStyle w:val="Contenudetableau"/>
              <w:numPr>
                <w:ilvl w:val="0"/>
                <w:numId w:val="1"/>
              </w:numPr>
              <w:spacing w:before="120" w:after="120"/>
            </w:pPr>
            <w:r>
              <w:t>Actions de parentalité</w:t>
            </w:r>
          </w:p>
          <w:p w:rsidR="00B90D24" w:rsidRDefault="00B90D24">
            <w:pPr>
              <w:pStyle w:val="Contenudetableau"/>
              <w:numPr>
                <w:ilvl w:val="0"/>
                <w:numId w:val="1"/>
              </w:numPr>
              <w:spacing w:before="120" w:after="120"/>
            </w:pPr>
            <w:r>
              <w:t>Lutte contre les discriminations</w:t>
            </w:r>
          </w:p>
          <w:p w:rsidR="00B90D24" w:rsidRDefault="00B90D24">
            <w:pPr>
              <w:pStyle w:val="Contenudetableau"/>
              <w:numPr>
                <w:ilvl w:val="0"/>
                <w:numId w:val="1"/>
              </w:numPr>
              <w:spacing w:before="120" w:after="120"/>
            </w:pPr>
            <w:r>
              <w:t>Actions liés à l’emploi</w:t>
            </w:r>
          </w:p>
        </w:tc>
      </w:tr>
    </w:tbl>
    <w:p w:rsidR="00B90D24" w:rsidRDefault="00B90D24">
      <w:pPr>
        <w:pStyle w:val="WW-Standard"/>
        <w:tabs>
          <w:tab w:val="left" w:pos="5920"/>
        </w:tabs>
        <w:spacing w:after="57"/>
        <w:rPr>
          <w:rFonts w:ascii="Verdana" w:hAnsi="Verdana" w:cs="Verdana"/>
          <w:b/>
          <w:bCs/>
          <w:sz w:val="28"/>
          <w:szCs w:val="28"/>
        </w:rPr>
      </w:pPr>
    </w:p>
    <w:p w:rsidR="00B90D24" w:rsidRDefault="00B90D24">
      <w:pPr>
        <w:pStyle w:val="Normal1"/>
        <w:widowControl/>
        <w:suppressAutoHyphens w:val="0"/>
        <w:textAlignment w:val="auto"/>
      </w:pPr>
    </w:p>
    <w:sectPr w:rsidR="00B90D24" w:rsidSect="005B1626">
      <w:footerReference w:type="default" r:id="rId7"/>
      <w:pgSz w:w="11906" w:h="16838"/>
      <w:pgMar w:top="454" w:right="567" w:bottom="737" w:left="567" w:header="0" w:footer="567" w:gutter="0"/>
      <w:cols w:space="720"/>
      <w:formProt w:val="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D24" w:rsidRDefault="00B90D24" w:rsidP="005B1626">
      <w:r>
        <w:separator/>
      </w:r>
    </w:p>
  </w:endnote>
  <w:endnote w:type="continuationSeparator" w:id="0">
    <w:p w:rsidR="00B90D24" w:rsidRDefault="00B90D24" w:rsidP="005B162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OpenSymbol">
    <w:altName w:val="Arial Unicode MS"/>
    <w:panose1 w:val="05010000000000000000"/>
    <w:charset w:val="00"/>
    <w:family w:val="auto"/>
    <w:pitch w:val="variable"/>
    <w:sig w:usb0="800000AF" w:usb1="1001ECEA" w:usb2="00000000" w:usb3="00000000" w:csb0="000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D24" w:rsidRDefault="00B90D24">
    <w:pPr>
      <w:pStyle w:val="Pieddepage"/>
      <w:jc w:val="right"/>
      <w:rPr>
        <w:rFonts w:ascii="Verdana" w:hAnsi="Verdana" w:cs="Verdana"/>
        <w:sz w:val="16"/>
        <w:szCs w:val="16"/>
      </w:rPr>
    </w:pPr>
    <w:r>
      <w:rPr>
        <w:rFonts w:ascii="Verdana" w:hAnsi="Verdana" w:cs="Verdana"/>
        <w:sz w:val="16"/>
        <w:szCs w:val="16"/>
      </w:rPr>
      <w:t>Contrat de ville</w:t>
    </w:r>
    <w:r w:rsidR="00696817">
      <w:rPr>
        <w:rFonts w:ascii="Verdana" w:hAnsi="Verdana" w:cs="Verdana"/>
        <w:sz w:val="16"/>
        <w:szCs w:val="16"/>
      </w:rPr>
      <w:t xml:space="preserve"> - </w:t>
    </w:r>
    <w:r>
      <w:rPr>
        <w:rFonts w:ascii="Verdana" w:hAnsi="Verdana" w:cs="Verdana"/>
        <w:sz w:val="16"/>
        <w:szCs w:val="16"/>
      </w:rPr>
      <w:t>Fiche orientation opérationnelle</w:t>
    </w:r>
  </w:p>
  <w:p w:rsidR="00B90D24" w:rsidRDefault="00B90D24">
    <w:pPr>
      <w:pStyle w:val="Pieddepage"/>
      <w:jc w:val="right"/>
    </w:pPr>
    <w:r>
      <w:rPr>
        <w:rFonts w:ascii="Verdana" w:hAnsi="Verdana" w:cs="Verdana"/>
        <w:sz w:val="16"/>
        <w:szCs w:val="16"/>
      </w:rPr>
      <w:t xml:space="preserve">Date de mise à jour : </w:t>
    </w:r>
    <w:r w:rsidR="00696817">
      <w:rPr>
        <w:rFonts w:ascii="Verdana" w:hAnsi="Verdana" w:cs="Verdana"/>
        <w:sz w:val="16"/>
        <w:szCs w:val="16"/>
      </w:rPr>
      <w:t>15 novembre</w:t>
    </w:r>
    <w:r>
      <w:rPr>
        <w:rFonts w:ascii="Verdana" w:hAnsi="Verdana" w:cs="Verdana"/>
        <w:sz w:val="16"/>
        <w:szCs w:val="16"/>
      </w:rPr>
      <w:t xml:space="preserve">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D24" w:rsidRDefault="00B90D24">
      <w:r>
        <w:separator/>
      </w:r>
    </w:p>
  </w:footnote>
  <w:footnote w:type="continuationSeparator" w:id="0">
    <w:p w:rsidR="00B90D24" w:rsidRDefault="00B90D24">
      <w:r>
        <w:continuationSeparator/>
      </w:r>
    </w:p>
  </w:footnote>
  <w:footnote w:id="1">
    <w:p w:rsidR="00B90D24" w:rsidRDefault="00B90D24">
      <w:pPr>
        <w:pStyle w:val="Notedebasdepage"/>
      </w:pPr>
      <w:r>
        <w:rPr>
          <w:rStyle w:val="Appelnotedebasdep"/>
        </w:rPr>
        <w:footnoteRef/>
      </w:r>
      <w:r>
        <w:rPr>
          <w:rStyle w:val="Appelnotedebasdep"/>
        </w:rPr>
        <w:tab/>
      </w:r>
      <w:r>
        <w:t xml:space="preserve"> Délégué général aux droits de l'enfant en Belgique depuis 2008.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535D2"/>
    <w:multiLevelType w:val="multilevel"/>
    <w:tmpl w:val="FFFFFFFF"/>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
    <w:nsid w:val="765B5037"/>
    <w:multiLevelType w:val="multilevel"/>
    <w:tmpl w:val="FFFFFFF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7C971351"/>
    <w:multiLevelType w:val="multilevel"/>
    <w:tmpl w:val="FFFFFFFF"/>
    <w:lvl w:ilvl="0">
      <w:start w:val="1"/>
      <w:numFmt w:val="bullet"/>
      <w:lvlText w:val="•"/>
      <w:lvlJc w:val="left"/>
      <w:pPr>
        <w:tabs>
          <w:tab w:val="num" w:pos="720"/>
        </w:tabs>
        <w:ind w:left="720" w:hanging="360"/>
      </w:pPr>
      <w:rPr>
        <w:rFonts w:ascii="Arial" w:hAnsi="Arial" w:cs="Arial" w:hint="default"/>
      </w:rPr>
    </w:lvl>
    <w:lvl w:ilvl="1">
      <w:start w:va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Arial" w:hAnsi="Arial" w:cs="Arial" w:hint="default"/>
      </w:rPr>
    </w:lvl>
    <w:lvl w:ilvl="4">
      <w:start w:val="1"/>
      <w:numFmt w:val="bullet"/>
      <w:lvlText w:val="•"/>
      <w:lvlJc w:val="left"/>
      <w:pPr>
        <w:tabs>
          <w:tab w:val="num" w:pos="3600"/>
        </w:tabs>
        <w:ind w:left="3600" w:hanging="360"/>
      </w:pPr>
      <w:rPr>
        <w:rFonts w:ascii="Arial" w:hAnsi="Arial" w:cs="Arial" w:hint="default"/>
      </w:rPr>
    </w:lvl>
    <w:lvl w:ilvl="5">
      <w:start w:val="1"/>
      <w:numFmt w:val="bullet"/>
      <w:lvlText w:val="•"/>
      <w:lvlJc w:val="left"/>
      <w:pPr>
        <w:tabs>
          <w:tab w:val="num" w:pos="4320"/>
        </w:tabs>
        <w:ind w:left="4320" w:hanging="360"/>
      </w:pPr>
      <w:rPr>
        <w:rFonts w:ascii="Arial" w:hAnsi="Arial" w:cs="Arial" w:hint="default"/>
      </w:rPr>
    </w:lvl>
    <w:lvl w:ilvl="6">
      <w:start w:val="1"/>
      <w:numFmt w:val="bullet"/>
      <w:lvlText w:val="•"/>
      <w:lvlJc w:val="left"/>
      <w:pPr>
        <w:tabs>
          <w:tab w:val="num" w:pos="5040"/>
        </w:tabs>
        <w:ind w:left="5040" w:hanging="360"/>
      </w:pPr>
      <w:rPr>
        <w:rFonts w:ascii="Arial" w:hAnsi="Arial" w:cs="Arial" w:hint="default"/>
      </w:rPr>
    </w:lvl>
    <w:lvl w:ilvl="7">
      <w:start w:val="1"/>
      <w:numFmt w:val="bullet"/>
      <w:lvlText w:val="•"/>
      <w:lvlJc w:val="left"/>
      <w:pPr>
        <w:tabs>
          <w:tab w:val="num" w:pos="5760"/>
        </w:tabs>
        <w:ind w:left="5760" w:hanging="360"/>
      </w:pPr>
      <w:rPr>
        <w:rFonts w:ascii="Arial" w:hAnsi="Arial" w:cs="Arial" w:hint="default"/>
      </w:rPr>
    </w:lvl>
    <w:lvl w:ilvl="8">
      <w:start w:val="1"/>
      <w:numFmt w:val="bullet"/>
      <w:lvlText w:val="•"/>
      <w:lvlJc w:val="left"/>
      <w:pPr>
        <w:tabs>
          <w:tab w:val="num" w:pos="6480"/>
        </w:tabs>
        <w:ind w:left="6480" w:hanging="360"/>
      </w:pPr>
      <w:rPr>
        <w:rFonts w:ascii="Arial" w:hAnsi="Arial" w:cs="Arial"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1626"/>
    <w:rsid w:val="005002C3"/>
    <w:rsid w:val="005B1626"/>
    <w:rsid w:val="00696817"/>
    <w:rsid w:val="006C11BF"/>
    <w:rsid w:val="006F3701"/>
    <w:rsid w:val="008C7698"/>
    <w:rsid w:val="00A40B03"/>
    <w:rsid w:val="00B90D24"/>
    <w:rsid w:val="00BB6743"/>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701"/>
    <w:rPr>
      <w:sz w:val="20"/>
      <w:szCs w:val="20"/>
    </w:rPr>
  </w:style>
  <w:style w:type="paragraph" w:styleId="Titre1">
    <w:name w:val="heading 1"/>
    <w:basedOn w:val="Titre"/>
    <w:link w:val="Titre1Car"/>
    <w:uiPriority w:val="99"/>
    <w:qFormat/>
    <w:rsid w:val="006F3701"/>
    <w:pPr>
      <w:outlineLvl w:val="0"/>
    </w:pPr>
    <w:rPr>
      <w:b/>
      <w:bCs/>
    </w:rPr>
  </w:style>
  <w:style w:type="paragraph" w:styleId="Titre2">
    <w:name w:val="heading 2"/>
    <w:basedOn w:val="Titre"/>
    <w:link w:val="Titre2Car"/>
    <w:uiPriority w:val="99"/>
    <w:qFormat/>
    <w:rsid w:val="006F3701"/>
    <w:pPr>
      <w:outlineLvl w:val="1"/>
    </w:pPr>
    <w:rPr>
      <w:b/>
      <w:bCs/>
      <w:i/>
      <w:iCs/>
    </w:rPr>
  </w:style>
  <w:style w:type="paragraph" w:styleId="Titre3">
    <w:name w:val="heading 3"/>
    <w:basedOn w:val="Titre"/>
    <w:link w:val="Titre3Car"/>
    <w:uiPriority w:val="99"/>
    <w:qFormat/>
    <w:rsid w:val="006F3701"/>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750FA"/>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sid w:val="00E750FA"/>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E750FA"/>
    <w:rPr>
      <w:rFonts w:asciiTheme="majorHAnsi" w:eastAsiaTheme="majorEastAsia" w:hAnsiTheme="majorHAnsi" w:cstheme="majorBidi"/>
      <w:b/>
      <w:bCs/>
      <w:sz w:val="26"/>
      <w:szCs w:val="26"/>
    </w:rPr>
  </w:style>
  <w:style w:type="character" w:customStyle="1" w:styleId="WW8Num1z0">
    <w:name w:val="WW8Num1z0"/>
    <w:uiPriority w:val="99"/>
    <w:rsid w:val="006F3701"/>
    <w:rPr>
      <w:rFonts w:ascii="Symbol" w:hAnsi="Symbol" w:cs="Symbol"/>
    </w:rPr>
  </w:style>
  <w:style w:type="character" w:customStyle="1" w:styleId="WW8Num1z1">
    <w:name w:val="WW8Num1z1"/>
    <w:uiPriority w:val="99"/>
    <w:rsid w:val="006F3701"/>
    <w:rPr>
      <w:rFonts w:ascii="OpenSymbol" w:hAnsi="OpenSymbol" w:cs="OpenSymbol"/>
    </w:rPr>
  </w:style>
  <w:style w:type="character" w:customStyle="1" w:styleId="WW8Num2z0">
    <w:name w:val="WW8Num2z0"/>
    <w:uiPriority w:val="99"/>
    <w:rsid w:val="006F3701"/>
    <w:rPr>
      <w:rFonts w:ascii="Verdana" w:eastAsia="SimSun" w:hAnsi="Verdana" w:cs="Verdana"/>
    </w:rPr>
  </w:style>
  <w:style w:type="character" w:customStyle="1" w:styleId="WW8Num2z1">
    <w:name w:val="WW8Num2z1"/>
    <w:uiPriority w:val="99"/>
    <w:rsid w:val="006F3701"/>
    <w:rPr>
      <w:rFonts w:ascii="Courier New" w:hAnsi="Courier New" w:cs="Courier New"/>
    </w:rPr>
  </w:style>
  <w:style w:type="character" w:customStyle="1" w:styleId="WW8Num2z2">
    <w:name w:val="WW8Num2z2"/>
    <w:uiPriority w:val="99"/>
    <w:rsid w:val="006F3701"/>
    <w:rPr>
      <w:rFonts w:ascii="Wingdings" w:hAnsi="Wingdings" w:cs="Wingdings"/>
    </w:rPr>
  </w:style>
  <w:style w:type="character" w:customStyle="1" w:styleId="WW8Num2z3">
    <w:name w:val="WW8Num2z3"/>
    <w:uiPriority w:val="99"/>
    <w:rsid w:val="006F3701"/>
    <w:rPr>
      <w:rFonts w:ascii="Symbol" w:hAnsi="Symbol" w:cs="Symbol"/>
    </w:rPr>
  </w:style>
  <w:style w:type="character" w:customStyle="1" w:styleId="WW8Num4z0">
    <w:name w:val="WW8Num4z0"/>
    <w:uiPriority w:val="99"/>
    <w:rsid w:val="006F3701"/>
    <w:rPr>
      <w:rFonts w:ascii="Verdana" w:hAnsi="Verdana" w:cs="Verdana"/>
    </w:rPr>
  </w:style>
  <w:style w:type="character" w:customStyle="1" w:styleId="WW8Num4z1">
    <w:name w:val="WW8Num4z1"/>
    <w:uiPriority w:val="99"/>
    <w:rsid w:val="006F3701"/>
    <w:rPr>
      <w:rFonts w:ascii="Courier New" w:hAnsi="Courier New" w:cs="Courier New"/>
    </w:rPr>
  </w:style>
  <w:style w:type="character" w:customStyle="1" w:styleId="WW8Num4z2">
    <w:name w:val="WW8Num4z2"/>
    <w:uiPriority w:val="99"/>
    <w:rsid w:val="006F3701"/>
    <w:rPr>
      <w:rFonts w:ascii="Wingdings" w:hAnsi="Wingdings" w:cs="Wingdings"/>
    </w:rPr>
  </w:style>
  <w:style w:type="character" w:customStyle="1" w:styleId="WW8Num4z3">
    <w:name w:val="WW8Num4z3"/>
    <w:uiPriority w:val="99"/>
    <w:rsid w:val="006F3701"/>
    <w:rPr>
      <w:rFonts w:ascii="Symbol" w:hAnsi="Symbol" w:cs="Symbol"/>
    </w:rPr>
  </w:style>
  <w:style w:type="character" w:customStyle="1" w:styleId="WW8Num5z0">
    <w:name w:val="WW8Num5z0"/>
    <w:uiPriority w:val="99"/>
    <w:rsid w:val="006F3701"/>
    <w:rPr>
      <w:rFonts w:ascii="Symbol" w:hAnsi="Symbol" w:cs="Symbol"/>
    </w:rPr>
  </w:style>
  <w:style w:type="character" w:customStyle="1" w:styleId="WW8Num5z1">
    <w:name w:val="WW8Num5z1"/>
    <w:uiPriority w:val="99"/>
    <w:rsid w:val="006F3701"/>
    <w:rPr>
      <w:rFonts w:ascii="OpenSymbol" w:hAnsi="OpenSymbol" w:cs="OpenSymbol"/>
    </w:rPr>
  </w:style>
  <w:style w:type="character" w:customStyle="1" w:styleId="WW8Num5z2">
    <w:name w:val="WW8Num5z2"/>
    <w:uiPriority w:val="99"/>
    <w:rsid w:val="006F3701"/>
    <w:rPr>
      <w:rFonts w:ascii="Wingdings" w:hAnsi="Wingdings" w:cs="Wingdings"/>
    </w:rPr>
  </w:style>
  <w:style w:type="character" w:customStyle="1" w:styleId="WW8Num5z3">
    <w:name w:val="WW8Num5z3"/>
    <w:uiPriority w:val="99"/>
    <w:rsid w:val="006F3701"/>
    <w:rPr>
      <w:rFonts w:ascii="Symbol" w:hAnsi="Symbol" w:cs="Symbol"/>
    </w:rPr>
  </w:style>
  <w:style w:type="character" w:customStyle="1" w:styleId="WW8Num6z0">
    <w:name w:val="WW8Num6z0"/>
    <w:uiPriority w:val="99"/>
    <w:rsid w:val="006F3701"/>
    <w:rPr>
      <w:rFonts w:ascii="Symbol" w:hAnsi="Symbol" w:cs="Symbol"/>
    </w:rPr>
  </w:style>
  <w:style w:type="character" w:customStyle="1" w:styleId="WW8Num6z1">
    <w:name w:val="WW8Num6z1"/>
    <w:uiPriority w:val="99"/>
    <w:rsid w:val="006F3701"/>
    <w:rPr>
      <w:rFonts w:ascii="OpenSymbol" w:hAnsi="OpenSymbol" w:cs="OpenSymbol"/>
    </w:rPr>
  </w:style>
  <w:style w:type="character" w:customStyle="1" w:styleId="Policepardfaut1">
    <w:name w:val="Police par défaut1"/>
    <w:uiPriority w:val="99"/>
    <w:rsid w:val="006F3701"/>
  </w:style>
  <w:style w:type="character" w:customStyle="1" w:styleId="Caractresdenumrotation">
    <w:name w:val="Caractères de numérotation"/>
    <w:uiPriority w:val="99"/>
    <w:rsid w:val="006F3701"/>
    <w:rPr>
      <w:b/>
      <w:bCs/>
    </w:rPr>
  </w:style>
  <w:style w:type="character" w:customStyle="1" w:styleId="Bullets">
    <w:name w:val="Bullets"/>
    <w:uiPriority w:val="99"/>
    <w:rsid w:val="006F3701"/>
    <w:rPr>
      <w:rFonts w:ascii="OpenSymbol" w:eastAsia="Times New Roman" w:hAnsi="OpenSymbol" w:cs="OpenSymbol"/>
    </w:rPr>
  </w:style>
  <w:style w:type="character" w:customStyle="1" w:styleId="En-tteCar">
    <w:name w:val="En-tête Car"/>
    <w:uiPriority w:val="99"/>
    <w:rsid w:val="006F3701"/>
    <w:rPr>
      <w:sz w:val="21"/>
      <w:szCs w:val="21"/>
    </w:rPr>
  </w:style>
  <w:style w:type="character" w:styleId="Numrodepage">
    <w:name w:val="page number"/>
    <w:basedOn w:val="Policepardfaut1"/>
    <w:uiPriority w:val="99"/>
    <w:rsid w:val="006F3701"/>
  </w:style>
  <w:style w:type="character" w:customStyle="1" w:styleId="Puces">
    <w:name w:val="Puces"/>
    <w:uiPriority w:val="99"/>
    <w:rsid w:val="006F3701"/>
    <w:rPr>
      <w:rFonts w:ascii="OpenSymbol" w:eastAsia="Times New Roman" w:hAnsi="OpenSymbol" w:cs="OpenSymbol"/>
    </w:rPr>
  </w:style>
  <w:style w:type="character" w:customStyle="1" w:styleId="ListLabel1">
    <w:name w:val="ListLabel 1"/>
    <w:uiPriority w:val="99"/>
    <w:rsid w:val="006F3701"/>
  </w:style>
  <w:style w:type="character" w:customStyle="1" w:styleId="ListLabel2">
    <w:name w:val="ListLabel 2"/>
    <w:uiPriority w:val="99"/>
    <w:rsid w:val="006F3701"/>
    <w:rPr>
      <w:rFonts w:eastAsia="SimSun"/>
    </w:rPr>
  </w:style>
  <w:style w:type="character" w:customStyle="1" w:styleId="ListLabel3">
    <w:name w:val="ListLabel 3"/>
    <w:uiPriority w:val="99"/>
    <w:rsid w:val="006F3701"/>
  </w:style>
  <w:style w:type="character" w:customStyle="1" w:styleId="En-tteCar1">
    <w:name w:val="En-tête Car1"/>
    <w:basedOn w:val="Policepardfaut"/>
    <w:uiPriority w:val="99"/>
    <w:rsid w:val="006F3701"/>
  </w:style>
  <w:style w:type="character" w:customStyle="1" w:styleId="PieddepageCar">
    <w:name w:val="Pied de page Car"/>
    <w:basedOn w:val="Policepardfaut"/>
    <w:link w:val="Pieddepage"/>
    <w:uiPriority w:val="99"/>
    <w:locked/>
    <w:rsid w:val="006F3701"/>
  </w:style>
  <w:style w:type="character" w:customStyle="1" w:styleId="TextedebullesCar">
    <w:name w:val="Texte de bulles Car"/>
    <w:basedOn w:val="Policepardfaut"/>
    <w:link w:val="Textedebulles"/>
    <w:uiPriority w:val="99"/>
    <w:locked/>
    <w:rsid w:val="006F3701"/>
    <w:rPr>
      <w:rFonts w:ascii="Tahoma" w:hAnsi="Tahoma" w:cs="Tahoma"/>
      <w:sz w:val="16"/>
      <w:szCs w:val="16"/>
    </w:rPr>
  </w:style>
  <w:style w:type="character" w:customStyle="1" w:styleId="NotedebasdepageCar">
    <w:name w:val="Note de bas de page Car"/>
    <w:basedOn w:val="Policepardfaut"/>
    <w:link w:val="Notedebasdepage"/>
    <w:uiPriority w:val="99"/>
    <w:locked/>
    <w:rsid w:val="006F3701"/>
  </w:style>
  <w:style w:type="character" w:styleId="Appelnotedebasdep">
    <w:name w:val="footnote reference"/>
    <w:basedOn w:val="Policepardfaut"/>
    <w:uiPriority w:val="99"/>
    <w:semiHidden/>
    <w:rsid w:val="006F3701"/>
    <w:rPr>
      <w:vertAlign w:val="superscript"/>
    </w:rPr>
  </w:style>
  <w:style w:type="character" w:customStyle="1" w:styleId="ListLabel4">
    <w:name w:val="ListLabel 4"/>
    <w:uiPriority w:val="99"/>
    <w:rsid w:val="005B1626"/>
  </w:style>
  <w:style w:type="character" w:customStyle="1" w:styleId="ListLabel5">
    <w:name w:val="ListLabel 5"/>
    <w:uiPriority w:val="99"/>
    <w:rsid w:val="005B1626"/>
  </w:style>
  <w:style w:type="character" w:customStyle="1" w:styleId="ListLabel6">
    <w:name w:val="ListLabel 6"/>
    <w:uiPriority w:val="99"/>
    <w:rsid w:val="005B1626"/>
  </w:style>
  <w:style w:type="character" w:customStyle="1" w:styleId="ListLabel7">
    <w:name w:val="ListLabel 7"/>
    <w:uiPriority w:val="99"/>
    <w:rsid w:val="005B1626"/>
  </w:style>
  <w:style w:type="character" w:customStyle="1" w:styleId="ListLabel8">
    <w:name w:val="ListLabel 8"/>
    <w:uiPriority w:val="99"/>
    <w:rsid w:val="005B1626"/>
  </w:style>
  <w:style w:type="character" w:customStyle="1" w:styleId="ListLabel9">
    <w:name w:val="ListLabel 9"/>
    <w:uiPriority w:val="99"/>
    <w:rsid w:val="005B1626"/>
  </w:style>
  <w:style w:type="character" w:customStyle="1" w:styleId="ListLabel10">
    <w:name w:val="ListLabel 10"/>
    <w:uiPriority w:val="99"/>
    <w:rsid w:val="005B1626"/>
  </w:style>
  <w:style w:type="character" w:customStyle="1" w:styleId="ListLabel11">
    <w:name w:val="ListLabel 11"/>
    <w:uiPriority w:val="99"/>
    <w:rsid w:val="005B1626"/>
  </w:style>
  <w:style w:type="character" w:customStyle="1" w:styleId="ListLabel12">
    <w:name w:val="ListLabel 12"/>
    <w:uiPriority w:val="99"/>
    <w:rsid w:val="005B1626"/>
  </w:style>
  <w:style w:type="character" w:customStyle="1" w:styleId="ListLabel13">
    <w:name w:val="ListLabel 13"/>
    <w:uiPriority w:val="99"/>
    <w:rsid w:val="005B1626"/>
  </w:style>
  <w:style w:type="character" w:customStyle="1" w:styleId="ListLabel14">
    <w:name w:val="ListLabel 14"/>
    <w:uiPriority w:val="99"/>
    <w:rsid w:val="005B1626"/>
  </w:style>
  <w:style w:type="character" w:customStyle="1" w:styleId="ListLabel15">
    <w:name w:val="ListLabel 15"/>
    <w:uiPriority w:val="99"/>
    <w:rsid w:val="005B1626"/>
  </w:style>
  <w:style w:type="character" w:customStyle="1" w:styleId="ListLabel16">
    <w:name w:val="ListLabel 16"/>
    <w:uiPriority w:val="99"/>
    <w:rsid w:val="005B1626"/>
  </w:style>
  <w:style w:type="character" w:customStyle="1" w:styleId="ListLabel17">
    <w:name w:val="ListLabel 17"/>
    <w:uiPriority w:val="99"/>
    <w:rsid w:val="005B1626"/>
  </w:style>
  <w:style w:type="character" w:customStyle="1" w:styleId="ListLabel18">
    <w:name w:val="ListLabel 18"/>
    <w:uiPriority w:val="99"/>
    <w:rsid w:val="005B1626"/>
  </w:style>
  <w:style w:type="character" w:customStyle="1" w:styleId="ListLabel19">
    <w:name w:val="ListLabel 19"/>
    <w:uiPriority w:val="99"/>
    <w:rsid w:val="005B1626"/>
  </w:style>
  <w:style w:type="character" w:customStyle="1" w:styleId="ListLabel20">
    <w:name w:val="ListLabel 20"/>
    <w:uiPriority w:val="99"/>
    <w:rsid w:val="005B1626"/>
  </w:style>
  <w:style w:type="character" w:customStyle="1" w:styleId="ListLabel21">
    <w:name w:val="ListLabel 21"/>
    <w:uiPriority w:val="99"/>
    <w:rsid w:val="005B1626"/>
  </w:style>
  <w:style w:type="character" w:customStyle="1" w:styleId="ListLabel22">
    <w:name w:val="ListLabel 22"/>
    <w:uiPriority w:val="99"/>
    <w:rsid w:val="005B1626"/>
  </w:style>
  <w:style w:type="character" w:customStyle="1" w:styleId="ListLabel23">
    <w:name w:val="ListLabel 23"/>
    <w:uiPriority w:val="99"/>
    <w:rsid w:val="005B1626"/>
  </w:style>
  <w:style w:type="character" w:customStyle="1" w:styleId="ListLabel24">
    <w:name w:val="ListLabel 24"/>
    <w:uiPriority w:val="99"/>
    <w:rsid w:val="005B1626"/>
  </w:style>
  <w:style w:type="character" w:customStyle="1" w:styleId="Caractresdenotedebasdepage">
    <w:name w:val="Caractères de note de bas de page"/>
    <w:uiPriority w:val="99"/>
    <w:rsid w:val="005B1626"/>
  </w:style>
  <w:style w:type="character" w:customStyle="1" w:styleId="Ancredenotedebasdepage">
    <w:name w:val="Ancre de note de bas de page"/>
    <w:uiPriority w:val="99"/>
    <w:rsid w:val="005B1626"/>
    <w:rPr>
      <w:vertAlign w:val="superscript"/>
    </w:rPr>
  </w:style>
  <w:style w:type="character" w:customStyle="1" w:styleId="Ancredenotedefin">
    <w:name w:val="Ancre de note de fin"/>
    <w:uiPriority w:val="99"/>
    <w:rsid w:val="005B1626"/>
    <w:rPr>
      <w:vertAlign w:val="superscript"/>
    </w:rPr>
  </w:style>
  <w:style w:type="character" w:customStyle="1" w:styleId="Caractresdenotedefin">
    <w:name w:val="Caractères de note de fin"/>
    <w:uiPriority w:val="99"/>
    <w:rsid w:val="005B1626"/>
  </w:style>
  <w:style w:type="paragraph" w:styleId="Titre">
    <w:name w:val="Title"/>
    <w:basedOn w:val="Normal"/>
    <w:next w:val="Corpsdetexte"/>
    <w:link w:val="TitreCar"/>
    <w:uiPriority w:val="99"/>
    <w:qFormat/>
    <w:rsid w:val="006F3701"/>
    <w:pPr>
      <w:keepNext/>
      <w:widowControl w:val="0"/>
      <w:spacing w:before="240" w:after="120"/>
    </w:pPr>
    <w:rPr>
      <w:rFonts w:ascii="Arial" w:eastAsia="Microsoft YaHei" w:hAnsi="Arial" w:cs="Arial"/>
      <w:sz w:val="28"/>
      <w:szCs w:val="28"/>
    </w:rPr>
  </w:style>
  <w:style w:type="character" w:customStyle="1" w:styleId="TitreCar">
    <w:name w:val="Titre Car"/>
    <w:basedOn w:val="Policepardfaut"/>
    <w:link w:val="Titre"/>
    <w:uiPriority w:val="10"/>
    <w:rsid w:val="00E750FA"/>
    <w:rPr>
      <w:rFonts w:asciiTheme="majorHAnsi" w:eastAsiaTheme="majorEastAsia" w:hAnsiTheme="majorHAnsi" w:cstheme="majorBidi"/>
      <w:b/>
      <w:bCs/>
      <w:kern w:val="28"/>
      <w:sz w:val="32"/>
      <w:szCs w:val="32"/>
    </w:rPr>
  </w:style>
  <w:style w:type="paragraph" w:styleId="Corpsdetexte">
    <w:name w:val="Body Text"/>
    <w:basedOn w:val="Normal"/>
    <w:link w:val="CorpsdetexteCar"/>
    <w:uiPriority w:val="99"/>
    <w:rsid w:val="005B1626"/>
    <w:pPr>
      <w:spacing w:after="140" w:line="288" w:lineRule="auto"/>
    </w:pPr>
  </w:style>
  <w:style w:type="character" w:customStyle="1" w:styleId="CorpsdetexteCar">
    <w:name w:val="Corps de texte Car"/>
    <w:basedOn w:val="Policepardfaut"/>
    <w:link w:val="Corpsdetexte"/>
    <w:uiPriority w:val="99"/>
    <w:semiHidden/>
    <w:rsid w:val="00E750FA"/>
    <w:rPr>
      <w:sz w:val="20"/>
      <w:szCs w:val="20"/>
    </w:rPr>
  </w:style>
  <w:style w:type="paragraph" w:styleId="Liste">
    <w:name w:val="List"/>
    <w:basedOn w:val="TextBody"/>
    <w:uiPriority w:val="99"/>
    <w:rsid w:val="006F3701"/>
  </w:style>
  <w:style w:type="paragraph" w:styleId="Lgende">
    <w:name w:val="caption"/>
    <w:basedOn w:val="Normal1"/>
    <w:uiPriority w:val="99"/>
    <w:qFormat/>
    <w:rsid w:val="006F3701"/>
    <w:pPr>
      <w:suppressLineNumbers/>
      <w:spacing w:before="120" w:after="120"/>
      <w:textAlignment w:val="auto"/>
    </w:pPr>
    <w:rPr>
      <w:rFonts w:eastAsia="Times New Roman"/>
      <w:i/>
      <w:iCs/>
      <w:lang w:eastAsia="fr-FR"/>
    </w:rPr>
  </w:style>
  <w:style w:type="paragraph" w:customStyle="1" w:styleId="Index">
    <w:name w:val="Index"/>
    <w:basedOn w:val="Normal"/>
    <w:uiPriority w:val="99"/>
    <w:rsid w:val="006F3701"/>
    <w:pPr>
      <w:widowControl w:val="0"/>
      <w:suppressLineNumbers/>
      <w:suppressAutoHyphens/>
    </w:pPr>
    <w:rPr>
      <w:sz w:val="24"/>
      <w:szCs w:val="24"/>
    </w:rPr>
  </w:style>
  <w:style w:type="paragraph" w:customStyle="1" w:styleId="Normal1">
    <w:name w:val="Normal1"/>
    <w:uiPriority w:val="99"/>
    <w:rsid w:val="006F3701"/>
    <w:pPr>
      <w:widowControl w:val="0"/>
      <w:suppressAutoHyphens/>
      <w:textAlignment w:val="baseline"/>
    </w:pPr>
    <w:rPr>
      <w:rFonts w:eastAsia="SimSun"/>
      <w:sz w:val="24"/>
      <w:szCs w:val="24"/>
      <w:lang w:eastAsia="zh-CN"/>
    </w:rPr>
  </w:style>
  <w:style w:type="paragraph" w:customStyle="1" w:styleId="TextBody">
    <w:name w:val="Text Body"/>
    <w:uiPriority w:val="99"/>
    <w:rsid w:val="006F3701"/>
    <w:pPr>
      <w:widowControl w:val="0"/>
      <w:spacing w:after="120" w:line="288" w:lineRule="auto"/>
    </w:pPr>
    <w:rPr>
      <w:sz w:val="20"/>
      <w:szCs w:val="20"/>
    </w:rPr>
  </w:style>
  <w:style w:type="paragraph" w:customStyle="1" w:styleId="Titre10">
    <w:name w:val="Titre1"/>
    <w:basedOn w:val="Normal1"/>
    <w:uiPriority w:val="99"/>
    <w:rsid w:val="006F3701"/>
    <w:pPr>
      <w:keepNext/>
      <w:spacing w:before="240" w:after="120"/>
    </w:pPr>
    <w:rPr>
      <w:rFonts w:ascii="Arial" w:eastAsia="Microsoft YaHei" w:hAnsi="Arial" w:cs="Arial"/>
      <w:sz w:val="28"/>
      <w:szCs w:val="28"/>
    </w:rPr>
  </w:style>
  <w:style w:type="paragraph" w:customStyle="1" w:styleId="WW-Standard">
    <w:name w:val="WW-Standard"/>
    <w:uiPriority w:val="99"/>
    <w:rsid w:val="006F3701"/>
    <w:pPr>
      <w:widowControl w:val="0"/>
      <w:suppressAutoHyphens/>
      <w:textAlignment w:val="baseline"/>
    </w:pPr>
    <w:rPr>
      <w:rFonts w:eastAsia="SimSun"/>
      <w:sz w:val="24"/>
      <w:szCs w:val="24"/>
      <w:lang w:eastAsia="zh-CN"/>
    </w:rPr>
  </w:style>
  <w:style w:type="paragraph" w:styleId="Pieddepage">
    <w:name w:val="footer"/>
    <w:basedOn w:val="Normal"/>
    <w:link w:val="PieddepageCar"/>
    <w:uiPriority w:val="99"/>
    <w:rsid w:val="006F3701"/>
    <w:pPr>
      <w:tabs>
        <w:tab w:val="center" w:pos="4536"/>
        <w:tab w:val="right" w:pos="9072"/>
      </w:tabs>
    </w:pPr>
  </w:style>
  <w:style w:type="character" w:customStyle="1" w:styleId="FooterChar">
    <w:name w:val="Footer Char"/>
    <w:basedOn w:val="Policepardfaut"/>
    <w:link w:val="Pieddepage"/>
    <w:uiPriority w:val="99"/>
    <w:semiHidden/>
    <w:rsid w:val="00E750FA"/>
    <w:rPr>
      <w:sz w:val="20"/>
      <w:szCs w:val="20"/>
    </w:rPr>
  </w:style>
  <w:style w:type="paragraph" w:customStyle="1" w:styleId="Contenudetableau">
    <w:name w:val="Contenu de tableau"/>
    <w:basedOn w:val="Normal1"/>
    <w:uiPriority w:val="99"/>
    <w:rsid w:val="006F3701"/>
    <w:pPr>
      <w:suppressLineNumbers/>
    </w:pPr>
  </w:style>
  <w:style w:type="paragraph" w:styleId="En-tte">
    <w:name w:val="header"/>
    <w:basedOn w:val="Normal"/>
    <w:link w:val="En-tteCar2"/>
    <w:uiPriority w:val="99"/>
    <w:rsid w:val="006F3701"/>
    <w:pPr>
      <w:tabs>
        <w:tab w:val="center" w:pos="4536"/>
        <w:tab w:val="right" w:pos="9072"/>
      </w:tabs>
    </w:pPr>
  </w:style>
  <w:style w:type="character" w:customStyle="1" w:styleId="En-tteCar2">
    <w:name w:val="En-tête Car2"/>
    <w:basedOn w:val="Policepardfaut"/>
    <w:link w:val="En-tte"/>
    <w:uiPriority w:val="99"/>
    <w:semiHidden/>
    <w:rsid w:val="00E750FA"/>
    <w:rPr>
      <w:sz w:val="20"/>
      <w:szCs w:val="20"/>
    </w:rPr>
  </w:style>
  <w:style w:type="paragraph" w:customStyle="1" w:styleId="Titredetableau">
    <w:name w:val="Titre de tableau"/>
    <w:basedOn w:val="Contenudetableau"/>
    <w:uiPriority w:val="99"/>
    <w:rsid w:val="006F3701"/>
    <w:pPr>
      <w:jc w:val="center"/>
    </w:pPr>
    <w:rPr>
      <w:b/>
      <w:bCs/>
    </w:rPr>
  </w:style>
  <w:style w:type="paragraph" w:styleId="NormalWeb">
    <w:name w:val="Normal (Web)"/>
    <w:basedOn w:val="Normal1"/>
    <w:uiPriority w:val="99"/>
    <w:rsid w:val="006F3701"/>
    <w:pPr>
      <w:widowControl/>
      <w:suppressAutoHyphens w:val="0"/>
      <w:spacing w:before="280" w:after="280"/>
      <w:textAlignment w:val="auto"/>
    </w:pPr>
    <w:rPr>
      <w:rFonts w:eastAsia="Times New Roman"/>
      <w:lang w:eastAsia="fr-FR"/>
    </w:rPr>
  </w:style>
  <w:style w:type="paragraph" w:styleId="Textedebulles">
    <w:name w:val="Balloon Text"/>
    <w:basedOn w:val="Normal"/>
    <w:link w:val="TextedebullesCar"/>
    <w:uiPriority w:val="99"/>
    <w:semiHidden/>
    <w:rsid w:val="006F3701"/>
    <w:rPr>
      <w:rFonts w:ascii="Tahoma" w:hAnsi="Tahoma" w:cs="Tahoma"/>
      <w:sz w:val="16"/>
      <w:szCs w:val="16"/>
    </w:rPr>
  </w:style>
  <w:style w:type="character" w:customStyle="1" w:styleId="BalloonTextChar1">
    <w:name w:val="Balloon Text Char1"/>
    <w:basedOn w:val="Policepardfaut"/>
    <w:link w:val="Textedebulles"/>
    <w:uiPriority w:val="99"/>
    <w:semiHidden/>
    <w:rsid w:val="00E750FA"/>
    <w:rPr>
      <w:sz w:val="0"/>
      <w:szCs w:val="0"/>
    </w:rPr>
  </w:style>
  <w:style w:type="paragraph" w:styleId="Notedebasdepage">
    <w:name w:val="footnote text"/>
    <w:basedOn w:val="Normal"/>
    <w:link w:val="NotedebasdepageCar"/>
    <w:uiPriority w:val="99"/>
    <w:semiHidden/>
    <w:rsid w:val="005B1626"/>
  </w:style>
  <w:style w:type="character" w:customStyle="1" w:styleId="FootnoteTextChar1">
    <w:name w:val="Footnote Text Char1"/>
    <w:basedOn w:val="Policepardfaut"/>
    <w:link w:val="Notedebasdepage"/>
    <w:uiPriority w:val="99"/>
    <w:semiHidden/>
    <w:rsid w:val="00E750FA"/>
    <w:rPr>
      <w:sz w:val="20"/>
      <w:szCs w:val="20"/>
    </w:rPr>
  </w:style>
  <w:style w:type="paragraph" w:styleId="Paragraphedeliste">
    <w:name w:val="List Paragraph"/>
    <w:basedOn w:val="Normal"/>
    <w:uiPriority w:val="99"/>
    <w:qFormat/>
    <w:rsid w:val="006F3701"/>
    <w:pPr>
      <w:ind w:left="720"/>
    </w:pPr>
  </w:style>
  <w:style w:type="table" w:styleId="Grilledutableau">
    <w:name w:val="Table Grid"/>
    <w:basedOn w:val="TableauNormal"/>
    <w:uiPriority w:val="99"/>
    <w:rsid w:val="006F370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410</Words>
  <Characters>2301</Characters>
  <Application>Microsoft Office Word</Application>
  <DocSecurity>0</DocSecurity>
  <Lines>19</Lines>
  <Paragraphs>5</Paragraphs>
  <ScaleCrop>false</ScaleCrop>
  <Company>MSS</Company>
  <LinksUpToDate>false</LinksUpToDate>
  <CharactersWithSpaces>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subject/>
  <dc:creator>MONTIGNY henri</dc:creator>
  <cp:keywords/>
  <dc:description/>
  <cp:lastModifiedBy>R.V. (DDCS) </cp:lastModifiedBy>
  <cp:revision>13</cp:revision>
  <cp:lastPrinted>2015-05-27T07:28:00Z</cp:lastPrinted>
  <dcterms:created xsi:type="dcterms:W3CDTF">2017-09-01T07:03:00Z</dcterms:created>
  <dcterms:modified xsi:type="dcterms:W3CDTF">2017-11-08T11:46:00Z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MSS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