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01" w:rsidRPr="008D57C0" w:rsidRDefault="00806B91" w:rsidP="00827890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FICHE </w:t>
      </w:r>
      <w:r w:rsidR="00C048D6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AT1.1</w:t>
      </w:r>
      <w:r w:rsidR="004F60ED" w:rsidRPr="00617FC3">
        <w:rPr>
          <w:rFonts w:ascii="Verdana" w:hAnsi="Verdana" w:cs="Verdana"/>
          <w:b/>
          <w:bCs/>
          <w:i/>
          <w:color w:val="17365D" w:themeColor="text2" w:themeShade="BF"/>
          <w:sz w:val="16"/>
          <w:szCs w:val="16"/>
        </w:rPr>
        <w:t>(version 2017)</w:t>
      </w:r>
    </w:p>
    <w:p w:rsidR="00C048D6" w:rsidRPr="00491B35" w:rsidRDefault="006A5C2D" w:rsidP="00D774B4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>
        <w:rPr>
          <w:rFonts w:ascii="Verdana" w:hAnsi="Verdana" w:cs="Verdana"/>
          <w:b/>
          <w:bCs/>
          <w:color w:val="FFFFFF"/>
          <w:sz w:val="28"/>
          <w:szCs w:val="28"/>
        </w:rPr>
        <w:t xml:space="preserve">LUTTER CONTRE LES </w:t>
      </w:r>
      <w:r w:rsidR="00C048D6" w:rsidRPr="00C048D6">
        <w:rPr>
          <w:rFonts w:ascii="Verdana" w:hAnsi="Verdana" w:cs="Verdana"/>
          <w:b/>
          <w:bCs/>
          <w:color w:val="FFFFFF"/>
          <w:sz w:val="28"/>
          <w:szCs w:val="28"/>
        </w:rPr>
        <w:t xml:space="preserve"> DISCRIMINATI</w:t>
      </w:r>
      <w:r w:rsidR="00C048D6">
        <w:rPr>
          <w:rFonts w:ascii="Verdana" w:hAnsi="Verdana" w:cs="Verdana"/>
          <w:b/>
          <w:bCs/>
          <w:color w:val="FFFFFF"/>
          <w:sz w:val="28"/>
          <w:szCs w:val="28"/>
        </w:rPr>
        <w:t xml:space="preserve">ONS </w:t>
      </w:r>
    </w:p>
    <w:p w:rsidR="00611755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B8CCE4"/>
        <w:tblLook w:val="01E0"/>
      </w:tblPr>
      <w:tblGrid>
        <w:gridCol w:w="3227"/>
        <w:gridCol w:w="7654"/>
      </w:tblGrid>
      <w:tr w:rsidR="00611755" w:rsidRPr="00243AF9" w:rsidTr="00BB0CEE">
        <w:trPr>
          <w:trHeight w:val="754"/>
        </w:trPr>
        <w:tc>
          <w:tcPr>
            <w:tcW w:w="3227" w:type="dxa"/>
            <w:shd w:val="clear" w:color="auto" w:fill="B8CCE4"/>
            <w:vAlign w:val="center"/>
          </w:tcPr>
          <w:p w:rsidR="005F0153" w:rsidRPr="00243AF9" w:rsidRDefault="00BB0CEE" w:rsidP="00BE417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 transversal</w:t>
            </w:r>
          </w:p>
        </w:tc>
        <w:tc>
          <w:tcPr>
            <w:tcW w:w="7654" w:type="dxa"/>
            <w:shd w:val="clear" w:color="auto" w:fill="B8CCE4"/>
            <w:vAlign w:val="center"/>
          </w:tcPr>
          <w:p w:rsidR="00611755" w:rsidRPr="00405EFC" w:rsidRDefault="00806B91" w:rsidP="00F66C1B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</w:t>
            </w:r>
            <w:r w:rsidR="00C048D6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transversal</w:t>
            </w:r>
            <w:r w:rsidR="00F66C1B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 : </w:t>
            </w:r>
            <w:r w:rsidR="00F66C1B" w:rsidRPr="00F66C1B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Prévenir et lutter contre toutes les formes de discriminations</w:t>
            </w:r>
          </w:p>
        </w:tc>
      </w:tr>
    </w:tbl>
    <w:p w:rsidR="00611755" w:rsidRPr="00243AF9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3200"/>
        <w:gridCol w:w="7654"/>
      </w:tblGrid>
      <w:tr w:rsidR="00611755" w:rsidRPr="00243AF9" w:rsidTr="00BB0CEE">
        <w:trPr>
          <w:trHeight w:val="150"/>
        </w:trPr>
        <w:tc>
          <w:tcPr>
            <w:tcW w:w="3200" w:type="dxa"/>
            <w:shd w:val="clear" w:color="auto" w:fill="B8CCE4"/>
          </w:tcPr>
          <w:p w:rsidR="00611755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  <w:p w:rsidR="00611755" w:rsidRPr="00611755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7654" w:type="dxa"/>
            <w:shd w:val="clear" w:color="auto" w:fill="B8CCE4"/>
          </w:tcPr>
          <w:p w:rsidR="00BB0CEE" w:rsidRPr="00BB0CEE" w:rsidRDefault="006A5C2D" w:rsidP="00BB0CEE">
            <w:pPr>
              <w:pStyle w:val="TableContents"/>
              <w:numPr>
                <w:ilvl w:val="0"/>
                <w:numId w:val="9"/>
              </w:numPr>
              <w:snapToGrid w:val="0"/>
              <w:spacing w:before="120" w:after="120"/>
              <w:ind w:right="-10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Un</w:t>
            </w:r>
            <w:r w:rsidR="00BB0CEE"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plan de prévention </w:t>
            </w:r>
            <w:r w:rsid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et de lutte contre les </w:t>
            </w:r>
            <w:r w:rsidR="00BB0CEE"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discriminations a été signé en 2008 et financé par l’ACSE</w:t>
            </w:r>
            <w:r w:rsid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et Tour(s)plus</w:t>
            </w:r>
            <w:r w:rsidR="00BB0CEE"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. Porté d’abord par la Mission locale, il est, dans sa nouvelle version depuis 2010, porté par la communauté d’agglomération</w:t>
            </w:r>
            <w:r w:rsid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, particulièrement sur les thèmes </w:t>
            </w:r>
            <w:r w:rsidR="00BB0CEE"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emploi et logement</w:t>
            </w:r>
            <w:r w:rsid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.</w:t>
            </w:r>
          </w:p>
          <w:p w:rsidR="00BB0CEE" w:rsidRDefault="00BB0CEE" w:rsidP="00BB0CEE">
            <w:pPr>
              <w:pStyle w:val="TableContents"/>
              <w:numPr>
                <w:ilvl w:val="0"/>
                <w:numId w:val="9"/>
              </w:numPr>
              <w:snapToGrid w:val="0"/>
              <w:spacing w:before="120" w:after="120"/>
              <w:ind w:right="-10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Les données sur l’emploi d’une part, le logement d’autre part, donnent à voir des inégalités de situation pour les habitants des quartiers prioritaires, que les études lient au moins en partie à des processus discriminatoires sur lesquels il est nécessaire de travailler collectivement. Les études et analyses diverses conduites montrent que les inégalités s’expliquent aussi, en partie, par des phénomènes di</w:t>
            </w: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scriminatoires, les sélections</w:t>
            </w:r>
            <w:r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pouvant se faire, volontairement ou pas, sur la base de critères identitaires : âge, sexe, nationalité, apparence physique… La loi interdit de s’appuyer sur ces critè</w:t>
            </w: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res pour réaliser des sélections </w:t>
            </w:r>
            <w:r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et a ajouté un dernier critère récemment, celui du lieu de résidence. </w:t>
            </w:r>
          </w:p>
          <w:p w:rsidR="00BB0CEE" w:rsidRPr="00BB0CEE" w:rsidRDefault="00BB0CEE" w:rsidP="00BB0CEE">
            <w:pPr>
              <w:pStyle w:val="TableContents"/>
              <w:numPr>
                <w:ilvl w:val="0"/>
                <w:numId w:val="9"/>
              </w:numPr>
              <w:snapToGrid w:val="0"/>
              <w:spacing w:before="120" w:after="120"/>
              <w:ind w:right="-10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On observe d</w:t>
            </w:r>
            <w:r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es dynamiques « prévention des discriminations » qui s’épuisent, alors même que les sujets perdurent</w:t>
            </w: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.</w:t>
            </w:r>
          </w:p>
          <w:p w:rsidR="00BB0CEE" w:rsidRPr="00BB0CEE" w:rsidRDefault="00BB0CEE" w:rsidP="00BB0CEE">
            <w:pPr>
              <w:pStyle w:val="TableContents"/>
              <w:numPr>
                <w:ilvl w:val="0"/>
                <w:numId w:val="9"/>
              </w:numPr>
              <w:snapToGrid w:val="0"/>
              <w:spacing w:before="120" w:after="120"/>
              <w:ind w:right="-10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Il s'agit d'intégrer le principe de non-discrimination dans les pratiques et les processus professionnels de l'ensemble des partenaires territoriaux du contrat à l'échelle intercommunale</w:t>
            </w:r>
          </w:p>
        </w:tc>
      </w:tr>
      <w:tr w:rsidR="00611755" w:rsidRPr="00243AF9" w:rsidTr="00BB0CEE">
        <w:trPr>
          <w:trHeight w:val="142"/>
        </w:trPr>
        <w:tc>
          <w:tcPr>
            <w:tcW w:w="3200" w:type="dxa"/>
            <w:shd w:val="clear" w:color="auto" w:fill="B8CCE4"/>
          </w:tcPr>
          <w:p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Objectifs 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et dynamiques</w:t>
            </w:r>
          </w:p>
          <w:p w:rsidR="00611755" w:rsidRPr="008D57C0" w:rsidRDefault="00611755" w:rsidP="00321AE6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16"/>
                <w:szCs w:val="20"/>
              </w:rPr>
            </w:pPr>
          </w:p>
        </w:tc>
        <w:tc>
          <w:tcPr>
            <w:tcW w:w="7654" w:type="dxa"/>
            <w:shd w:val="clear" w:color="auto" w:fill="B8CCE4"/>
          </w:tcPr>
          <w:p w:rsidR="006A5C2D" w:rsidRPr="006A5C2D" w:rsidRDefault="006A5C2D" w:rsidP="00BB0CEE">
            <w:pPr>
              <w:pStyle w:val="TableContents"/>
              <w:numPr>
                <w:ilvl w:val="0"/>
                <w:numId w:val="8"/>
              </w:numPr>
              <w:snapToGrid w:val="0"/>
              <w:spacing w:before="120" w:after="120"/>
              <w:ind w:right="-10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Affiner </w:t>
            </w: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la</w:t>
            </w:r>
            <w:r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connaissance des discriminations afin de mieux les mesurer, préalable indispensable à l'amélioration </w:t>
            </w: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de </w:t>
            </w:r>
            <w:r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la lutte contre les discriminations</w:t>
            </w:r>
            <w:r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</w:t>
            </w:r>
          </w:p>
          <w:p w:rsidR="00BB0CEE" w:rsidRPr="00BB0CEE" w:rsidRDefault="00D97AE5" w:rsidP="00BB0CEE">
            <w:pPr>
              <w:pStyle w:val="TableContents"/>
              <w:numPr>
                <w:ilvl w:val="0"/>
                <w:numId w:val="8"/>
              </w:numPr>
              <w:snapToGrid w:val="0"/>
              <w:spacing w:before="120" w:after="120"/>
              <w:ind w:right="-10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Objectiver les discriminations présentes sur le territoire, à partir du croisement des informations disponibles ainsi que de la </w:t>
            </w:r>
            <w:r w:rsid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mobilisation des habitants.</w:t>
            </w:r>
          </w:p>
          <w:p w:rsidR="006A5C2D" w:rsidRDefault="006A5C2D" w:rsidP="006A5C2D">
            <w:pPr>
              <w:pStyle w:val="TableContents"/>
              <w:numPr>
                <w:ilvl w:val="0"/>
                <w:numId w:val="9"/>
              </w:numPr>
              <w:autoSpaceDN w:val="0"/>
              <w:snapToGrid w:val="0"/>
              <w:spacing w:before="120" w:after="120"/>
              <w:ind w:right="-10"/>
              <w:jc w:val="both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Favoriser la </w:t>
            </w:r>
            <w:r w:rsidRPr="00DD0FE7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compréhension partagée des différentes dimensions de la discrimination</w:t>
            </w:r>
          </w:p>
          <w:p w:rsidR="00D97AE5" w:rsidRPr="005F0153" w:rsidRDefault="006A5C2D" w:rsidP="002E4278">
            <w:pPr>
              <w:pStyle w:val="TableContents"/>
              <w:numPr>
                <w:ilvl w:val="0"/>
                <w:numId w:val="8"/>
              </w:numPr>
              <w:snapToGrid w:val="0"/>
              <w:spacing w:before="120" w:after="120"/>
              <w:ind w:right="-10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Faire évoluer les pratiques professionnelles</w:t>
            </w:r>
          </w:p>
        </w:tc>
      </w:tr>
      <w:tr w:rsidR="00611755" w:rsidRPr="00243AF9" w:rsidTr="00BB0CEE">
        <w:trPr>
          <w:trHeight w:val="170"/>
        </w:trPr>
        <w:tc>
          <w:tcPr>
            <w:tcW w:w="3200" w:type="dxa"/>
            <w:shd w:val="clear" w:color="auto" w:fill="B8CCE4"/>
          </w:tcPr>
          <w:p w:rsidR="005F0153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Réalisations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attendues </w:t>
            </w:r>
          </w:p>
          <w:p w:rsidR="00611755" w:rsidRPr="005F0153" w:rsidRDefault="00611755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7654" w:type="dxa"/>
            <w:shd w:val="clear" w:color="auto" w:fill="B8CCE4"/>
          </w:tcPr>
          <w:p w:rsidR="0037663A" w:rsidRPr="002E4278" w:rsidRDefault="00BB0CEE" w:rsidP="0037663A">
            <w:pPr>
              <w:pStyle w:val="TableContents"/>
              <w:widowControl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 w:val="0"/>
              <w:spacing w:before="120" w:after="120"/>
              <w:ind w:right="-10"/>
              <w:textAlignment w:val="auto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37663A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Identifier les acteurs intervenant sur la thématique et les actions développées sur le territoire autour de ce sujet.</w:t>
            </w:r>
          </w:p>
          <w:p w:rsidR="0037663A" w:rsidRDefault="0037663A" w:rsidP="0037663A">
            <w:pPr>
              <w:pStyle w:val="TableContents"/>
              <w:widowControl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 w:val="0"/>
              <w:spacing w:before="120" w:after="120"/>
              <w:ind w:right="-10"/>
              <w:textAlignment w:val="auto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37663A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Mettre en place, à l’échelle du territoire, une veille</w:t>
            </w: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</w:t>
            </w:r>
            <w:r w:rsidRPr="0037663A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des situations discriminatoires en mobilisant</w:t>
            </w: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</w:t>
            </w:r>
            <w:r w:rsidRPr="0037663A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les services de l’Etat et les partenaires</w:t>
            </w:r>
          </w:p>
          <w:p w:rsidR="006A5C2D" w:rsidRDefault="006A5C2D" w:rsidP="006A5C2D">
            <w:pPr>
              <w:pStyle w:val="TableContents"/>
              <w:numPr>
                <w:ilvl w:val="0"/>
                <w:numId w:val="8"/>
              </w:numPr>
              <w:snapToGrid w:val="0"/>
              <w:spacing w:before="120" w:after="120"/>
              <w:ind w:right="-10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Renouveler le Plan de lutte et de prévention contre les discriminations</w:t>
            </w: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, comme cadre stratégique d’intervention sur cet axe transversal</w:t>
            </w:r>
          </w:p>
          <w:p w:rsidR="006A5C2D" w:rsidRPr="00BB0CEE" w:rsidRDefault="006A5C2D" w:rsidP="0037663A">
            <w:pPr>
              <w:pStyle w:val="TableContents"/>
              <w:widowControl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napToGrid w:val="0"/>
              <w:spacing w:before="120" w:after="120"/>
              <w:ind w:right="-10"/>
              <w:textAlignment w:val="auto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Mettre </w:t>
            </w:r>
            <w:r w:rsidRPr="00DD0FE7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en place de</w:t>
            </w: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s</w:t>
            </w:r>
            <w:r w:rsidRPr="00DD0FE7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formation</w:t>
            </w: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s</w:t>
            </w:r>
            <w:r w:rsidRPr="00DD0FE7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pour les </w:t>
            </w: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acteurs locaux</w:t>
            </w:r>
            <w:r w:rsidRPr="00DD0FE7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, de manière à  s’assurer d‘une compréhension partagée des différentes dimensions de la discrimination</w:t>
            </w:r>
          </w:p>
        </w:tc>
      </w:tr>
      <w:tr w:rsidR="00611755" w:rsidRPr="00243AF9" w:rsidTr="00BB0CEE">
        <w:tc>
          <w:tcPr>
            <w:tcW w:w="3200" w:type="dxa"/>
            <w:shd w:val="clear" w:color="auto" w:fill="B8CCE4"/>
          </w:tcPr>
          <w:p w:rsidR="005F0153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Effets attendus </w:t>
            </w:r>
          </w:p>
          <w:p w:rsidR="00BB0CEE" w:rsidRPr="00611755" w:rsidRDefault="00BB0CEE" w:rsidP="000A7EEE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7654" w:type="dxa"/>
            <w:shd w:val="clear" w:color="auto" w:fill="B8CCE4"/>
          </w:tcPr>
          <w:p w:rsidR="00611755" w:rsidRPr="00BB0CEE" w:rsidRDefault="00BB0CEE" w:rsidP="00BB0CEE">
            <w:pPr>
              <w:pStyle w:val="TableContents"/>
              <w:numPr>
                <w:ilvl w:val="0"/>
                <w:numId w:val="8"/>
              </w:numPr>
              <w:snapToGrid w:val="0"/>
              <w:spacing w:before="120" w:after="120"/>
              <w:ind w:right="-10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Faire évoluer</w:t>
            </w:r>
            <w:r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les représentations</w:t>
            </w:r>
          </w:p>
          <w:p w:rsidR="00BB0CEE" w:rsidRDefault="00BB0CEE" w:rsidP="000A7EEE">
            <w:pPr>
              <w:pStyle w:val="TableContents"/>
              <w:numPr>
                <w:ilvl w:val="0"/>
                <w:numId w:val="8"/>
              </w:numPr>
              <w:snapToGrid w:val="0"/>
              <w:spacing w:before="120" w:after="120"/>
              <w:ind w:right="-1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Quantifier et qualifier les dyn</w:t>
            </w:r>
            <w:r w:rsidR="000A7E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a</w:t>
            </w:r>
            <w:r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miques présentes sur le territoire</w:t>
            </w:r>
          </w:p>
        </w:tc>
      </w:tr>
      <w:tr w:rsidR="00611755" w:rsidRPr="00243AF9" w:rsidTr="00BB0CEE">
        <w:tc>
          <w:tcPr>
            <w:tcW w:w="3200" w:type="dxa"/>
            <w:shd w:val="clear" w:color="auto" w:fill="B8CCE4"/>
          </w:tcPr>
          <w:p w:rsidR="00611755" w:rsidRPr="00611755" w:rsidRDefault="00611755" w:rsidP="00321AE6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Territoriale</w:t>
            </w:r>
          </w:p>
        </w:tc>
        <w:tc>
          <w:tcPr>
            <w:tcW w:w="7654" w:type="dxa"/>
            <w:shd w:val="clear" w:color="auto" w:fill="B8CCE4"/>
          </w:tcPr>
          <w:p w:rsidR="00611755" w:rsidRPr="00243AF9" w:rsidRDefault="00BB0CEE" w:rsidP="00611755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Echelle intercommunale</w:t>
            </w:r>
          </w:p>
        </w:tc>
      </w:tr>
      <w:tr w:rsidR="00611755" w:rsidRPr="00243AF9" w:rsidTr="00BB0CEE">
        <w:tc>
          <w:tcPr>
            <w:tcW w:w="3200" w:type="dxa"/>
            <w:shd w:val="clear" w:color="auto" w:fill="B8CCE4"/>
          </w:tcPr>
          <w:p w:rsidR="00611755" w:rsidRPr="00611755" w:rsidRDefault="00D87FB9" w:rsidP="00321AE6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lastRenderedPageBreak/>
              <w:t>Animateur</w:t>
            </w:r>
          </w:p>
        </w:tc>
        <w:tc>
          <w:tcPr>
            <w:tcW w:w="7654" w:type="dxa"/>
            <w:shd w:val="clear" w:color="auto" w:fill="B8CCE4"/>
          </w:tcPr>
          <w:p w:rsidR="00611755" w:rsidRPr="00243AF9" w:rsidRDefault="00D046EE" w:rsidP="00D046EE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Tour(s)plus</w:t>
            </w:r>
          </w:p>
        </w:tc>
      </w:tr>
      <w:tr w:rsidR="00611755" w:rsidRPr="00243AF9" w:rsidTr="00BB0CEE">
        <w:trPr>
          <w:trHeight w:val="95"/>
        </w:trPr>
        <w:tc>
          <w:tcPr>
            <w:tcW w:w="3200" w:type="dxa"/>
            <w:shd w:val="clear" w:color="auto" w:fill="B8CCE4"/>
          </w:tcPr>
          <w:p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Partenaires 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mobilisable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s (dont habitants)</w:t>
            </w:r>
          </w:p>
          <w:p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  <w:p w:rsidR="00611755" w:rsidRPr="00611755" w:rsidRDefault="00611755" w:rsidP="00321AE6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7654" w:type="dxa"/>
            <w:shd w:val="clear" w:color="auto" w:fill="B8CCE4"/>
          </w:tcPr>
          <w:p w:rsidR="00611755" w:rsidRDefault="00BB0CEE" w:rsidP="0037663A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BB0CEE">
              <w:rPr>
                <w:rFonts w:ascii="Verdana" w:hAnsi="Verdana" w:cs="Arial"/>
                <w:color w:val="1F497D"/>
                <w:sz w:val="20"/>
                <w:szCs w:val="20"/>
                <w:u w:val="single"/>
              </w:rPr>
              <w:t>Les partenaires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> :</w:t>
            </w:r>
            <w:r w:rsidR="0037663A">
              <w:rPr>
                <w:rFonts w:ascii="Verdana" w:hAnsi="Verdana" w:cs="Arial"/>
                <w:color w:val="1F497D"/>
                <w:sz w:val="20"/>
                <w:szCs w:val="20"/>
              </w:rPr>
              <w:t xml:space="preserve"> Etat, 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Région, Département, Procureur, </w:t>
            </w:r>
            <w:r w:rsidR="000A7EEE">
              <w:rPr>
                <w:rFonts w:ascii="Verdana" w:hAnsi="Verdana" w:cs="Arial"/>
                <w:color w:val="1F497D"/>
                <w:sz w:val="20"/>
                <w:szCs w:val="20"/>
              </w:rPr>
              <w:t>D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>éfenseur des droits,</w:t>
            </w:r>
            <w:r w:rsidR="0037663A">
              <w:rPr>
                <w:rFonts w:ascii="Verdana" w:hAnsi="Verdana" w:cs="Arial"/>
                <w:color w:val="1F497D"/>
                <w:sz w:val="20"/>
                <w:szCs w:val="20"/>
              </w:rPr>
              <w:t xml:space="preserve"> </w:t>
            </w:r>
            <w:r w:rsidR="0037663A" w:rsidRPr="0037663A">
              <w:rPr>
                <w:rFonts w:ascii="Verdana" w:hAnsi="Verdana" w:cs="Arial"/>
                <w:color w:val="1F497D"/>
                <w:sz w:val="20"/>
                <w:szCs w:val="20"/>
              </w:rPr>
              <w:t>les conseils départementaux d’accès aux droits (CDAD), les maisons de</w:t>
            </w:r>
            <w:r w:rsidR="0037663A">
              <w:rPr>
                <w:rFonts w:ascii="Verdana" w:hAnsi="Verdana" w:cs="Arial"/>
                <w:color w:val="1F497D"/>
                <w:sz w:val="20"/>
                <w:szCs w:val="20"/>
              </w:rPr>
              <w:t xml:space="preserve"> la justice et du droit (MJD), Mission locale,</w:t>
            </w:r>
          </w:p>
          <w:p w:rsidR="00BB0CEE" w:rsidRPr="00BB0CEE" w:rsidRDefault="00BB0CEE" w:rsidP="00611755">
            <w:pPr>
              <w:tabs>
                <w:tab w:val="left" w:pos="1440"/>
              </w:tabs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  <w:u w:val="single"/>
              </w:rPr>
            </w:pPr>
            <w:r w:rsidRPr="00BB0CEE">
              <w:rPr>
                <w:rFonts w:ascii="Verdana" w:hAnsi="Verdana" w:cs="Arial"/>
                <w:color w:val="1F497D"/>
                <w:sz w:val="20"/>
                <w:szCs w:val="20"/>
                <w:u w:val="single"/>
              </w:rPr>
              <w:t>Dispositifs mobilisables :</w:t>
            </w:r>
          </w:p>
          <w:p w:rsidR="00BB0CEE" w:rsidRPr="00243AF9" w:rsidRDefault="00BB0CEE" w:rsidP="00321AE6">
            <w:pPr>
              <w:tabs>
                <w:tab w:val="left" w:pos="1440"/>
              </w:tabs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Cellule de veille discriminations </w:t>
            </w:r>
          </w:p>
        </w:tc>
      </w:tr>
      <w:tr w:rsidR="00611755" w:rsidRPr="00243AF9" w:rsidTr="00BB0CEE">
        <w:tc>
          <w:tcPr>
            <w:tcW w:w="3200" w:type="dxa"/>
            <w:shd w:val="clear" w:color="auto" w:fill="B8CCE4"/>
          </w:tcPr>
          <w:p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Financements mobilisables</w:t>
            </w:r>
          </w:p>
          <w:p w:rsidR="00611755" w:rsidRPr="00243AF9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7654" w:type="dxa"/>
            <w:shd w:val="clear" w:color="auto" w:fill="B8CCE4"/>
          </w:tcPr>
          <w:p w:rsidR="000A7EEE" w:rsidRDefault="00BB0CEE" w:rsidP="00BB0CEE">
            <w:pPr>
              <w:tabs>
                <w:tab w:val="left" w:pos="1440"/>
              </w:tabs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BB0CEE">
              <w:rPr>
                <w:rFonts w:ascii="Verdana" w:hAnsi="Verdana" w:cs="Arial"/>
                <w:color w:val="1F497D"/>
                <w:sz w:val="20"/>
                <w:szCs w:val="20"/>
                <w:u w:val="single"/>
              </w:rPr>
              <w:t>Financement de droit commun :</w:t>
            </w:r>
            <w:r w:rsidR="000A7EEE">
              <w:rPr>
                <w:rFonts w:ascii="Verdana" w:hAnsi="Verdana" w:cs="Arial"/>
                <w:color w:val="1F497D"/>
                <w:sz w:val="20"/>
                <w:szCs w:val="20"/>
                <w:u w:val="single"/>
              </w:rPr>
              <w:t xml:space="preserve"> </w:t>
            </w:r>
            <w:r w:rsidR="000A7EEE" w:rsidRPr="000A7EEE">
              <w:rPr>
                <w:rFonts w:ascii="Verdana" w:hAnsi="Verdana" w:cs="Arial"/>
                <w:color w:val="1F497D"/>
                <w:sz w:val="20"/>
                <w:szCs w:val="20"/>
              </w:rPr>
              <w:t>BOP de l’Etat</w:t>
            </w:r>
            <w:r w:rsidR="000A7EEE">
              <w:rPr>
                <w:rFonts w:ascii="Verdana" w:hAnsi="Verdana" w:cs="Arial"/>
                <w:color w:val="1F497D"/>
                <w:sz w:val="20"/>
                <w:szCs w:val="20"/>
              </w:rPr>
              <w:t xml:space="preserve"> via les conventions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 interministérielle</w:t>
            </w:r>
            <w:r w:rsidR="000A7EEE">
              <w:rPr>
                <w:rFonts w:ascii="Verdana" w:hAnsi="Verdana" w:cs="Arial"/>
                <w:color w:val="1F497D"/>
                <w:sz w:val="20"/>
                <w:szCs w:val="20"/>
              </w:rPr>
              <w:t>s</w:t>
            </w:r>
            <w:r w:rsidR="006A5C2D">
              <w:rPr>
                <w:rFonts w:ascii="Verdana" w:hAnsi="Verdana" w:cs="Arial"/>
                <w:color w:val="1F497D"/>
                <w:sz w:val="20"/>
                <w:szCs w:val="20"/>
              </w:rPr>
              <w:t>.</w:t>
            </w:r>
          </w:p>
          <w:p w:rsidR="00BB0CEE" w:rsidRPr="00BB0CEE" w:rsidRDefault="00BB0CEE" w:rsidP="00BB0CEE">
            <w:pPr>
              <w:tabs>
                <w:tab w:val="left" w:pos="1440"/>
              </w:tabs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  <w:u w:val="single"/>
              </w:rPr>
            </w:pPr>
            <w:r w:rsidRPr="00BB0CEE">
              <w:rPr>
                <w:rFonts w:ascii="Verdana" w:hAnsi="Verdana" w:cs="Arial"/>
                <w:color w:val="1F497D"/>
                <w:sz w:val="20"/>
                <w:szCs w:val="20"/>
                <w:u w:val="single"/>
              </w:rPr>
              <w:t>Financement spécifique :</w:t>
            </w:r>
          </w:p>
          <w:p w:rsidR="00611755" w:rsidRPr="00243AF9" w:rsidRDefault="000A7EEE" w:rsidP="00D046EE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Enveloppe politique </w:t>
            </w:r>
            <w:r w:rsidR="00BB0CEE">
              <w:rPr>
                <w:rFonts w:ascii="Verdana" w:hAnsi="Verdana" w:cs="Arial"/>
                <w:color w:val="1F497D"/>
                <w:sz w:val="20"/>
                <w:szCs w:val="20"/>
              </w:rPr>
              <w:t xml:space="preserve">de la ville </w:t>
            </w:r>
          </w:p>
        </w:tc>
      </w:tr>
      <w:tr w:rsidR="00611755" w:rsidRPr="00243AF9" w:rsidTr="00BB0CEE">
        <w:trPr>
          <w:trHeight w:val="272"/>
        </w:trPr>
        <w:tc>
          <w:tcPr>
            <w:tcW w:w="3200" w:type="dxa"/>
            <w:shd w:val="clear" w:color="auto" w:fill="B8CCE4"/>
          </w:tcPr>
          <w:p w:rsidR="00611755" w:rsidRPr="00611755" w:rsidRDefault="00611755" w:rsidP="003F50E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7654" w:type="dxa"/>
            <w:shd w:val="clear" w:color="auto" w:fill="B8CCE4"/>
          </w:tcPr>
          <w:p w:rsidR="00611755" w:rsidRPr="00243AF9" w:rsidRDefault="00BB0CEE" w:rsidP="00611755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Au fil de l’eau</w:t>
            </w:r>
          </w:p>
        </w:tc>
      </w:tr>
      <w:tr w:rsidR="005F0153" w:rsidRPr="00243AF9" w:rsidTr="00BB0CEE">
        <w:tc>
          <w:tcPr>
            <w:tcW w:w="3200" w:type="dxa"/>
            <w:shd w:val="clear" w:color="auto" w:fill="B8CCE4"/>
          </w:tcPr>
          <w:p w:rsidR="005F0153" w:rsidRDefault="005F0153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de réalisation</w:t>
            </w:r>
          </w:p>
          <w:p w:rsidR="005F0153" w:rsidRDefault="005F0153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7654" w:type="dxa"/>
            <w:shd w:val="clear" w:color="auto" w:fill="B8CCE4"/>
          </w:tcPr>
          <w:p w:rsidR="00BB0CEE" w:rsidRPr="003F50E7" w:rsidRDefault="00BB0CEE" w:rsidP="003F50E7">
            <w:pPr>
              <w:pStyle w:val="Paragraphedeliste"/>
              <w:numPr>
                <w:ilvl w:val="0"/>
                <w:numId w:val="10"/>
              </w:num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0A7EEE">
              <w:rPr>
                <w:rFonts w:ascii="Verdana" w:hAnsi="Verdana" w:cs="Arial"/>
                <w:color w:val="1F497D"/>
                <w:sz w:val="20"/>
                <w:szCs w:val="20"/>
              </w:rPr>
              <w:t>Réalisation du diagnostic</w:t>
            </w:r>
          </w:p>
          <w:p w:rsidR="003F50E7" w:rsidRPr="000A7EEE" w:rsidRDefault="003F50E7" w:rsidP="003F50E7">
            <w:pPr>
              <w:pStyle w:val="Paragraphedeliste"/>
              <w:numPr>
                <w:ilvl w:val="0"/>
                <w:numId w:val="10"/>
              </w:num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0A7EEE">
              <w:rPr>
                <w:rFonts w:ascii="Verdana" w:hAnsi="Verdana" w:cs="Arial"/>
                <w:color w:val="1F497D"/>
                <w:sz w:val="20"/>
                <w:szCs w:val="20"/>
              </w:rPr>
              <w:t>Mise en place du plan de lutte et de prévention des discriminations</w:t>
            </w:r>
          </w:p>
          <w:p w:rsidR="000A7EEE" w:rsidRDefault="000A7EEE" w:rsidP="000A7EEE">
            <w:pPr>
              <w:pStyle w:val="Paragraphedeliste"/>
              <w:numPr>
                <w:ilvl w:val="0"/>
                <w:numId w:val="10"/>
              </w:num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Nombre d’actions réalisées</w:t>
            </w:r>
          </w:p>
          <w:p w:rsidR="00996B8B" w:rsidRPr="000A7EEE" w:rsidRDefault="00996B8B" w:rsidP="000A7EEE">
            <w:pPr>
              <w:pStyle w:val="Paragraphedeliste"/>
              <w:numPr>
                <w:ilvl w:val="0"/>
                <w:numId w:val="10"/>
              </w:num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Nombre d'actions intégrant cette thématique</w:t>
            </w:r>
          </w:p>
        </w:tc>
      </w:tr>
      <w:tr w:rsidR="00D87FB9" w:rsidRPr="00243AF9" w:rsidTr="00BB0CEE">
        <w:tc>
          <w:tcPr>
            <w:tcW w:w="3200" w:type="dxa"/>
            <w:shd w:val="clear" w:color="auto" w:fill="B8CCE4"/>
          </w:tcPr>
          <w:p w:rsidR="00D87FB9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d’effets</w:t>
            </w:r>
          </w:p>
          <w:p w:rsidR="00D87FB9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7654" w:type="dxa"/>
            <w:shd w:val="clear" w:color="auto" w:fill="B8CCE4"/>
          </w:tcPr>
          <w:p w:rsidR="00BB0CEE" w:rsidRDefault="00BB0CEE" w:rsidP="00BB0CEE">
            <w:pPr>
              <w:pStyle w:val="TableContents"/>
              <w:numPr>
                <w:ilvl w:val="0"/>
                <w:numId w:val="8"/>
              </w:numPr>
              <w:snapToGrid w:val="0"/>
              <w:spacing w:before="120" w:after="120"/>
              <w:ind w:right="-10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/Faire évoluer</w:t>
            </w:r>
            <w:r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les représentations</w:t>
            </w: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 : intégration de cette problématique dans les pratiques professionnelles</w:t>
            </w:r>
          </w:p>
          <w:p w:rsidR="00D87FB9" w:rsidRPr="00BB0CEE" w:rsidRDefault="00BB0CEE" w:rsidP="00BB0CEE">
            <w:pPr>
              <w:pStyle w:val="TableContents"/>
              <w:numPr>
                <w:ilvl w:val="0"/>
                <w:numId w:val="8"/>
              </w:numPr>
              <w:snapToGrid w:val="0"/>
              <w:spacing w:before="120" w:after="120"/>
              <w:ind w:right="-10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/Q</w:t>
            </w:r>
            <w:r w:rsidRPr="00BB0CE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uantifier et qualifier les dynamiques présentes sur le territoire</w:t>
            </w: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 : nombre d’actions identifiées, nombre d’actions nouvelles réalisées</w:t>
            </w:r>
          </w:p>
        </w:tc>
        <w:bookmarkStart w:id="0" w:name="_GoBack"/>
        <w:bookmarkEnd w:id="0"/>
      </w:tr>
      <w:tr w:rsidR="00611755" w:rsidRPr="00243AF9" w:rsidTr="00BB0CEE">
        <w:tc>
          <w:tcPr>
            <w:tcW w:w="3200" w:type="dxa"/>
            <w:shd w:val="clear" w:color="auto" w:fill="B8CCE4"/>
          </w:tcPr>
          <w:p w:rsidR="00611755" w:rsidRPr="00243AF9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7654" w:type="dxa"/>
            <w:shd w:val="clear" w:color="auto" w:fill="B8CCE4"/>
          </w:tcPr>
          <w:p w:rsidR="00611755" w:rsidRDefault="00611755" w:rsidP="00BB0CEE">
            <w:p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</w:p>
        </w:tc>
      </w:tr>
    </w:tbl>
    <w:p w:rsidR="00611755" w:rsidRDefault="00611755" w:rsidP="008D57C0">
      <w:pPr>
        <w:pStyle w:val="WW-Standard"/>
        <w:tabs>
          <w:tab w:val="left" w:pos="5920"/>
        </w:tabs>
        <w:spacing w:after="57"/>
        <w:rPr>
          <w:rFonts w:ascii="Verdana" w:hAnsi="Verdana" w:cs="Verdana"/>
          <w:b/>
          <w:bCs/>
          <w:sz w:val="28"/>
          <w:szCs w:val="28"/>
        </w:rPr>
      </w:pPr>
    </w:p>
    <w:p w:rsidR="008D0202" w:rsidRDefault="008D0202">
      <w:pPr>
        <w:widowControl/>
        <w:suppressAutoHyphens w:val="0"/>
        <w:textAlignment w:val="auto"/>
        <w:rPr>
          <w:rFonts w:ascii="Verdana" w:hAnsi="Verdana" w:cs="Verdana"/>
          <w:b/>
          <w:bCs/>
          <w:color w:val="FFFFFF"/>
          <w:sz w:val="28"/>
          <w:szCs w:val="28"/>
        </w:rPr>
      </w:pPr>
    </w:p>
    <w:sectPr w:rsidR="008D0202" w:rsidSect="00A433C2">
      <w:footerReference w:type="default" r:id="rId10"/>
      <w:pgSz w:w="11906" w:h="16838" w:code="9"/>
      <w:pgMar w:top="454" w:right="567" w:bottom="737" w:left="567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A11" w:rsidRDefault="00EA0A11" w:rsidP="00A03715">
      <w:pPr>
        <w:pStyle w:val="TableContents"/>
      </w:pPr>
      <w:r>
        <w:separator/>
      </w:r>
    </w:p>
  </w:endnote>
  <w:endnote w:type="continuationSeparator" w:id="0">
    <w:p w:rsidR="00EA0A11" w:rsidRDefault="00EA0A11" w:rsidP="00A03715">
      <w:pPr>
        <w:pStyle w:val="TableContents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F55" w:rsidRDefault="00652F55" w:rsidP="00973B15">
    <w:pPr>
      <w:pStyle w:val="Pieddepage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  <w:r w:rsidR="002E4278">
      <w:rPr>
        <w:rFonts w:ascii="Verdana" w:hAnsi="Verdana" w:cs="Verdana"/>
        <w:sz w:val="16"/>
        <w:szCs w:val="16"/>
      </w:rPr>
      <w:t xml:space="preserve"> - </w:t>
    </w:r>
    <w:r>
      <w:rPr>
        <w:rFonts w:ascii="Verdana" w:hAnsi="Verdana" w:cs="Verdana"/>
        <w:sz w:val="16"/>
        <w:szCs w:val="16"/>
      </w:rPr>
      <w:t xml:space="preserve">Fiche </w:t>
    </w:r>
    <w:r w:rsidR="00D87FB9">
      <w:rPr>
        <w:rFonts w:ascii="Verdana" w:hAnsi="Verdana" w:cs="Verdana"/>
        <w:sz w:val="16"/>
        <w:szCs w:val="16"/>
      </w:rPr>
      <w:t>orientation opérationnelle</w:t>
    </w:r>
  </w:p>
  <w:p w:rsidR="002E4278" w:rsidRDefault="002E4278" w:rsidP="00973B15">
    <w:pPr>
      <w:pStyle w:val="Pieddepage"/>
      <w:widowControl/>
      <w:jc w:val="right"/>
    </w:pPr>
    <w:r>
      <w:rPr>
        <w:rFonts w:ascii="Verdana" w:hAnsi="Verdana" w:cs="Verdana"/>
        <w:sz w:val="16"/>
        <w:szCs w:val="16"/>
      </w:rPr>
      <w:t>Date de mise à jour : 15 novembre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A11" w:rsidRDefault="00EA0A11" w:rsidP="00A03715">
      <w:pPr>
        <w:pStyle w:val="TableContents"/>
      </w:pPr>
      <w:r>
        <w:separator/>
      </w:r>
    </w:p>
  </w:footnote>
  <w:footnote w:type="continuationSeparator" w:id="0">
    <w:p w:rsidR="00EA0A11" w:rsidRDefault="00EA0A11" w:rsidP="00A03715">
      <w:pPr>
        <w:pStyle w:val="TableContents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654AF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>
    <w:nsid w:val="23CE4A10"/>
    <w:multiLevelType w:val="hybridMultilevel"/>
    <w:tmpl w:val="12049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99778D"/>
    <w:multiLevelType w:val="hybridMultilevel"/>
    <w:tmpl w:val="2B40824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7A1F35"/>
    <w:multiLevelType w:val="hybridMultilevel"/>
    <w:tmpl w:val="F0A68F52"/>
    <w:lvl w:ilvl="0" w:tplc="0BF622A2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116F2C"/>
    <w:multiLevelType w:val="hybridMultilevel"/>
    <w:tmpl w:val="78BC4768"/>
    <w:lvl w:ilvl="0" w:tplc="040C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8">
    <w:nsid w:val="6B240646"/>
    <w:multiLevelType w:val="hybridMultilevel"/>
    <w:tmpl w:val="B20ACF52"/>
    <w:lvl w:ilvl="0" w:tplc="040C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9">
    <w:nsid w:val="7FBE6885"/>
    <w:multiLevelType w:val="hybridMultilevel"/>
    <w:tmpl w:val="0F74463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9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 w:grammar="clean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66A5"/>
    <w:rsid w:val="00015782"/>
    <w:rsid w:val="00031B19"/>
    <w:rsid w:val="000431FC"/>
    <w:rsid w:val="00047DA8"/>
    <w:rsid w:val="00061E50"/>
    <w:rsid w:val="000966A5"/>
    <w:rsid w:val="000A3436"/>
    <w:rsid w:val="000A570C"/>
    <w:rsid w:val="000A7EEE"/>
    <w:rsid w:val="000F355B"/>
    <w:rsid w:val="001327C8"/>
    <w:rsid w:val="00141401"/>
    <w:rsid w:val="00157E13"/>
    <w:rsid w:val="0016489B"/>
    <w:rsid w:val="00172682"/>
    <w:rsid w:val="0017313C"/>
    <w:rsid w:val="001B5930"/>
    <w:rsid w:val="001C466A"/>
    <w:rsid w:val="00221F00"/>
    <w:rsid w:val="00243AF9"/>
    <w:rsid w:val="00251461"/>
    <w:rsid w:val="002650B0"/>
    <w:rsid w:val="002A5B58"/>
    <w:rsid w:val="002E4278"/>
    <w:rsid w:val="002E5A9A"/>
    <w:rsid w:val="00321AE6"/>
    <w:rsid w:val="00332D5A"/>
    <w:rsid w:val="003420AD"/>
    <w:rsid w:val="00345404"/>
    <w:rsid w:val="003744CB"/>
    <w:rsid w:val="0037663A"/>
    <w:rsid w:val="003966A6"/>
    <w:rsid w:val="003B381A"/>
    <w:rsid w:val="003F074B"/>
    <w:rsid w:val="003F50E7"/>
    <w:rsid w:val="00403AC9"/>
    <w:rsid w:val="00405EFC"/>
    <w:rsid w:val="00440B37"/>
    <w:rsid w:val="00450F2B"/>
    <w:rsid w:val="0045548E"/>
    <w:rsid w:val="00481787"/>
    <w:rsid w:val="00491B35"/>
    <w:rsid w:val="00496664"/>
    <w:rsid w:val="004F60ED"/>
    <w:rsid w:val="00502539"/>
    <w:rsid w:val="00543505"/>
    <w:rsid w:val="00564CE8"/>
    <w:rsid w:val="005A7B50"/>
    <w:rsid w:val="005F0153"/>
    <w:rsid w:val="00611755"/>
    <w:rsid w:val="00626CBC"/>
    <w:rsid w:val="00633A2F"/>
    <w:rsid w:val="00652F55"/>
    <w:rsid w:val="006A3BC2"/>
    <w:rsid w:val="006A5C2D"/>
    <w:rsid w:val="006F3473"/>
    <w:rsid w:val="007358F5"/>
    <w:rsid w:val="00741C82"/>
    <w:rsid w:val="0074359D"/>
    <w:rsid w:val="0077389A"/>
    <w:rsid w:val="0079748E"/>
    <w:rsid w:val="007A7B97"/>
    <w:rsid w:val="007B7D1F"/>
    <w:rsid w:val="007D246C"/>
    <w:rsid w:val="007D7354"/>
    <w:rsid w:val="007F401A"/>
    <w:rsid w:val="00806B91"/>
    <w:rsid w:val="00812E03"/>
    <w:rsid w:val="0082148C"/>
    <w:rsid w:val="00821CE0"/>
    <w:rsid w:val="00825C0B"/>
    <w:rsid w:val="00827890"/>
    <w:rsid w:val="0083500C"/>
    <w:rsid w:val="00841AF9"/>
    <w:rsid w:val="00843724"/>
    <w:rsid w:val="00853E40"/>
    <w:rsid w:val="00860E13"/>
    <w:rsid w:val="0088450D"/>
    <w:rsid w:val="008D0202"/>
    <w:rsid w:val="008D57C0"/>
    <w:rsid w:val="008F41F9"/>
    <w:rsid w:val="00903F55"/>
    <w:rsid w:val="00926A6A"/>
    <w:rsid w:val="00934D6C"/>
    <w:rsid w:val="009520CB"/>
    <w:rsid w:val="00973B15"/>
    <w:rsid w:val="0097477D"/>
    <w:rsid w:val="009910D0"/>
    <w:rsid w:val="00996B8B"/>
    <w:rsid w:val="009A172A"/>
    <w:rsid w:val="009C075F"/>
    <w:rsid w:val="00A03715"/>
    <w:rsid w:val="00A230D1"/>
    <w:rsid w:val="00A34D8D"/>
    <w:rsid w:val="00A433C2"/>
    <w:rsid w:val="00A60403"/>
    <w:rsid w:val="00AA02BF"/>
    <w:rsid w:val="00AA3D06"/>
    <w:rsid w:val="00AD0191"/>
    <w:rsid w:val="00AF6772"/>
    <w:rsid w:val="00B537E0"/>
    <w:rsid w:val="00B82553"/>
    <w:rsid w:val="00BB0CEE"/>
    <w:rsid w:val="00BE4175"/>
    <w:rsid w:val="00BE52CF"/>
    <w:rsid w:val="00BE6FC2"/>
    <w:rsid w:val="00C048D6"/>
    <w:rsid w:val="00C52CBA"/>
    <w:rsid w:val="00CA698C"/>
    <w:rsid w:val="00CC0218"/>
    <w:rsid w:val="00D046EE"/>
    <w:rsid w:val="00D424DD"/>
    <w:rsid w:val="00D774B4"/>
    <w:rsid w:val="00D80E84"/>
    <w:rsid w:val="00D86EE0"/>
    <w:rsid w:val="00D87FB9"/>
    <w:rsid w:val="00D97AE5"/>
    <w:rsid w:val="00DA6B8B"/>
    <w:rsid w:val="00DC0102"/>
    <w:rsid w:val="00EA0A11"/>
    <w:rsid w:val="00ED7F39"/>
    <w:rsid w:val="00EE7747"/>
    <w:rsid w:val="00F04DC2"/>
    <w:rsid w:val="00F275A3"/>
    <w:rsid w:val="00F66C1B"/>
    <w:rsid w:val="00F71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24D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rsid w:val="00D424DD"/>
    <w:pPr>
      <w:numPr>
        <w:numId w:val="1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rsid w:val="00D424DD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rsid w:val="00D424DD"/>
    <w:pPr>
      <w:numPr>
        <w:ilvl w:val="2"/>
        <w:numId w:val="1"/>
      </w:num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BB0CEE"/>
    <w:pPr>
      <w:keepNext/>
      <w:keepLines/>
      <w:spacing w:before="20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D424DD"/>
    <w:rPr>
      <w:rFonts w:ascii="Symbol" w:eastAsia="Times New Roman" w:hAnsi="Symbol" w:cs="Verdana"/>
    </w:rPr>
  </w:style>
  <w:style w:type="character" w:customStyle="1" w:styleId="WW8Num1z1">
    <w:name w:val="WW8Num1z1"/>
    <w:rsid w:val="00D424DD"/>
    <w:rPr>
      <w:rFonts w:ascii="OpenSymbol" w:hAnsi="OpenSymbol" w:cs="Courier New"/>
    </w:rPr>
  </w:style>
  <w:style w:type="character" w:customStyle="1" w:styleId="WW8Num2z0">
    <w:name w:val="WW8Num2z0"/>
    <w:rsid w:val="00D424DD"/>
    <w:rPr>
      <w:rFonts w:ascii="Verdana" w:eastAsia="SimSun" w:hAnsi="Verdana" w:cs="Mangal"/>
    </w:rPr>
  </w:style>
  <w:style w:type="character" w:customStyle="1" w:styleId="WW8Num2z1">
    <w:name w:val="WW8Num2z1"/>
    <w:rsid w:val="00D424DD"/>
    <w:rPr>
      <w:rFonts w:ascii="Courier New" w:hAnsi="Courier New" w:cs="Courier New"/>
    </w:rPr>
  </w:style>
  <w:style w:type="character" w:customStyle="1" w:styleId="WW8Num2z2">
    <w:name w:val="WW8Num2z2"/>
    <w:rsid w:val="00D424DD"/>
    <w:rPr>
      <w:rFonts w:ascii="Wingdings" w:hAnsi="Wingdings" w:cs="Wingdings"/>
    </w:rPr>
  </w:style>
  <w:style w:type="character" w:customStyle="1" w:styleId="WW8Num2z3">
    <w:name w:val="WW8Num2z3"/>
    <w:rsid w:val="00D424DD"/>
    <w:rPr>
      <w:rFonts w:ascii="Symbol" w:hAnsi="Symbol" w:cs="Symbol"/>
    </w:rPr>
  </w:style>
  <w:style w:type="character" w:customStyle="1" w:styleId="WW8Num4z0">
    <w:name w:val="WW8Num4z0"/>
    <w:rsid w:val="00D424DD"/>
    <w:rPr>
      <w:rFonts w:ascii="Verdana" w:eastAsia="Times New Roman" w:hAnsi="Verdana" w:cs="Verdana"/>
    </w:rPr>
  </w:style>
  <w:style w:type="character" w:customStyle="1" w:styleId="WW8Num4z1">
    <w:name w:val="WW8Num4z1"/>
    <w:rsid w:val="00D424DD"/>
    <w:rPr>
      <w:rFonts w:ascii="Courier New" w:hAnsi="Courier New" w:cs="Courier New"/>
    </w:rPr>
  </w:style>
  <w:style w:type="character" w:customStyle="1" w:styleId="WW8Num4z2">
    <w:name w:val="WW8Num4z2"/>
    <w:rsid w:val="00D424DD"/>
    <w:rPr>
      <w:rFonts w:ascii="Wingdings" w:hAnsi="Wingdings" w:cs="Wingdings"/>
    </w:rPr>
  </w:style>
  <w:style w:type="character" w:customStyle="1" w:styleId="WW8Num4z3">
    <w:name w:val="WW8Num4z3"/>
    <w:rsid w:val="00D424DD"/>
    <w:rPr>
      <w:rFonts w:ascii="Symbol" w:hAnsi="Symbol" w:cs="Symbol"/>
    </w:rPr>
  </w:style>
  <w:style w:type="character" w:customStyle="1" w:styleId="WW8Num5z0">
    <w:name w:val="WW8Num5z0"/>
    <w:rsid w:val="00D424DD"/>
    <w:rPr>
      <w:rFonts w:ascii="Symbol" w:hAnsi="Symbol" w:cs="OpenSymbol"/>
    </w:rPr>
  </w:style>
  <w:style w:type="character" w:customStyle="1" w:styleId="WW8Num5z1">
    <w:name w:val="WW8Num5z1"/>
    <w:rsid w:val="00D424DD"/>
    <w:rPr>
      <w:rFonts w:ascii="OpenSymbol" w:hAnsi="OpenSymbol" w:cs="OpenSymbol"/>
    </w:rPr>
  </w:style>
  <w:style w:type="character" w:customStyle="1" w:styleId="WW8Num5z2">
    <w:name w:val="WW8Num5z2"/>
    <w:rsid w:val="00D424DD"/>
    <w:rPr>
      <w:rFonts w:ascii="Wingdings" w:hAnsi="Wingdings" w:cs="Wingdings"/>
    </w:rPr>
  </w:style>
  <w:style w:type="character" w:customStyle="1" w:styleId="WW8Num5z3">
    <w:name w:val="WW8Num5z3"/>
    <w:rsid w:val="00D424DD"/>
    <w:rPr>
      <w:rFonts w:ascii="Symbol" w:hAnsi="Symbol" w:cs="Symbol"/>
    </w:rPr>
  </w:style>
  <w:style w:type="character" w:customStyle="1" w:styleId="WW8Num6z0">
    <w:name w:val="WW8Num6z0"/>
    <w:rsid w:val="00D424DD"/>
    <w:rPr>
      <w:rFonts w:ascii="Symbol" w:hAnsi="Symbol" w:cs="OpenSymbol"/>
    </w:rPr>
  </w:style>
  <w:style w:type="character" w:customStyle="1" w:styleId="WW8Num6z1">
    <w:name w:val="WW8Num6z1"/>
    <w:rsid w:val="00D424DD"/>
    <w:rPr>
      <w:rFonts w:ascii="OpenSymbol" w:hAnsi="OpenSymbol" w:cs="OpenSymbol"/>
    </w:rPr>
  </w:style>
  <w:style w:type="character" w:customStyle="1" w:styleId="Policepardfaut1">
    <w:name w:val="Police par défaut1"/>
    <w:rsid w:val="00D424DD"/>
  </w:style>
  <w:style w:type="character" w:customStyle="1" w:styleId="NumberingSymbols">
    <w:name w:val="Numbering Symbols"/>
    <w:rsid w:val="00D424DD"/>
    <w:rPr>
      <w:b/>
      <w:bCs/>
    </w:rPr>
  </w:style>
  <w:style w:type="character" w:customStyle="1" w:styleId="BulletSymbols">
    <w:name w:val="Bullet Symbols"/>
    <w:rsid w:val="00D424DD"/>
    <w:rPr>
      <w:rFonts w:ascii="OpenSymbol" w:eastAsia="OpenSymbol" w:hAnsi="OpenSymbol" w:cs="OpenSymbol"/>
    </w:rPr>
  </w:style>
  <w:style w:type="character" w:customStyle="1" w:styleId="En-tteCar">
    <w:name w:val="En-tête Car"/>
    <w:rsid w:val="00D424DD"/>
    <w:rPr>
      <w:szCs w:val="21"/>
    </w:rPr>
  </w:style>
  <w:style w:type="character" w:styleId="Numrodepage">
    <w:name w:val="page number"/>
    <w:basedOn w:val="Policepardfaut1"/>
    <w:rsid w:val="00D424DD"/>
  </w:style>
  <w:style w:type="character" w:customStyle="1" w:styleId="Puces">
    <w:name w:val="Puces"/>
    <w:rsid w:val="00D424DD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rsid w:val="00D424D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rsid w:val="00D424DD"/>
    <w:pPr>
      <w:spacing w:after="120"/>
    </w:pPr>
  </w:style>
  <w:style w:type="paragraph" w:styleId="Liste">
    <w:name w:val="List"/>
    <w:basedOn w:val="Textbody"/>
    <w:rsid w:val="00D424DD"/>
  </w:style>
  <w:style w:type="paragraph" w:styleId="Lgende">
    <w:name w:val="caption"/>
    <w:basedOn w:val="WW-Standard"/>
    <w:qFormat/>
    <w:rsid w:val="00D424D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rsid w:val="00D424DD"/>
    <w:pPr>
      <w:suppressLineNumbers/>
    </w:pPr>
  </w:style>
  <w:style w:type="paragraph" w:customStyle="1" w:styleId="WW-Standard">
    <w:name w:val="WW-Standard"/>
    <w:rsid w:val="00D424D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rsid w:val="00D424D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D424DD"/>
    <w:pPr>
      <w:spacing w:after="120"/>
    </w:pPr>
  </w:style>
  <w:style w:type="paragraph" w:styleId="Pieddepage">
    <w:name w:val="footer"/>
    <w:basedOn w:val="WW-Standard"/>
    <w:rsid w:val="00D424DD"/>
    <w:pPr>
      <w:suppressLineNumbers/>
    </w:pPr>
  </w:style>
  <w:style w:type="paragraph" w:customStyle="1" w:styleId="TableContents">
    <w:name w:val="Table Contents"/>
    <w:basedOn w:val="WW-Standard"/>
    <w:rsid w:val="00D424DD"/>
    <w:pPr>
      <w:suppressLineNumbers/>
    </w:pPr>
  </w:style>
  <w:style w:type="paragraph" w:styleId="En-tte">
    <w:name w:val="header"/>
    <w:basedOn w:val="Normal"/>
    <w:rsid w:val="00D424DD"/>
    <w:rPr>
      <w:szCs w:val="21"/>
    </w:rPr>
  </w:style>
  <w:style w:type="paragraph" w:customStyle="1" w:styleId="Contenudetableau">
    <w:name w:val="Contenu de tableau"/>
    <w:basedOn w:val="Normal"/>
    <w:rsid w:val="00D424DD"/>
    <w:pPr>
      <w:suppressLineNumbers/>
    </w:pPr>
  </w:style>
  <w:style w:type="paragraph" w:customStyle="1" w:styleId="Titredetableau">
    <w:name w:val="Titre de tableau"/>
    <w:basedOn w:val="Contenudetableau"/>
    <w:rsid w:val="00D424DD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customStyle="1" w:styleId="Titre4Car">
    <w:name w:val="Titre 4 Car"/>
    <w:basedOn w:val="Policepardfaut"/>
    <w:link w:val="Titre4"/>
    <w:semiHidden/>
    <w:rsid w:val="00BB0CEE"/>
    <w:rPr>
      <w:rFonts w:asciiTheme="majorHAnsi" w:eastAsiaTheme="majorEastAsia" w:hAnsiTheme="majorHAnsi" w:cs="Mangal"/>
      <w:b/>
      <w:bCs/>
      <w:i/>
      <w:iCs/>
      <w:color w:val="4F81BD" w:themeColor="accent1"/>
      <w:kern w:val="1"/>
      <w:sz w:val="24"/>
      <w:szCs w:val="21"/>
      <w:lang w:eastAsia="zh-CN" w:bidi="hi-IN"/>
    </w:rPr>
  </w:style>
  <w:style w:type="table" w:customStyle="1" w:styleId="Listeclaire-Accent11">
    <w:name w:val="Liste claire - Accent 11"/>
    <w:basedOn w:val="TableauNormal"/>
    <w:uiPriority w:val="61"/>
    <w:rsid w:val="00BB0CEE"/>
    <w:rPr>
      <w:rFonts w:ascii="Times" w:hAnsi="Time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Paragraphedeliste">
    <w:name w:val="List Paragraph"/>
    <w:basedOn w:val="Normal"/>
    <w:uiPriority w:val="72"/>
    <w:rsid w:val="000A7EEE"/>
    <w:pPr>
      <w:ind w:left="720"/>
      <w:contextualSpacing/>
    </w:pPr>
    <w:rPr>
      <w:szCs w:val="21"/>
    </w:rPr>
  </w:style>
  <w:style w:type="paragraph" w:styleId="Textedebulles">
    <w:name w:val="Balloon Text"/>
    <w:basedOn w:val="Normal"/>
    <w:link w:val="TextedebullesCar"/>
    <w:rsid w:val="006A5C2D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6A5C2D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Marquedecommentaire">
    <w:name w:val="annotation reference"/>
    <w:basedOn w:val="Policepardfaut"/>
    <w:rsid w:val="00996B8B"/>
    <w:rPr>
      <w:sz w:val="16"/>
      <w:szCs w:val="16"/>
    </w:rPr>
  </w:style>
  <w:style w:type="paragraph" w:styleId="Commentaire">
    <w:name w:val="annotation text"/>
    <w:basedOn w:val="Normal"/>
    <w:link w:val="CommentaireCar"/>
    <w:rsid w:val="00996B8B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sid w:val="00996B8B"/>
    <w:rPr>
      <w:rFonts w:eastAsia="SimSun" w:cs="Mangal"/>
      <w:kern w:val="1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rsid w:val="00996B8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96B8B"/>
    <w:rPr>
      <w:rFonts w:eastAsia="SimSun" w:cs="Mangal"/>
      <w:b/>
      <w:bCs/>
      <w:kern w:val="1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pPr>
      <w:numPr>
        <w:numId w:val="1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pPr>
      <w:numPr>
        <w:ilvl w:val="2"/>
        <w:numId w:val="1"/>
      </w:num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BB0CEE"/>
    <w:pPr>
      <w:keepNext/>
      <w:keepLines/>
      <w:spacing w:before="20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Verdana"/>
    </w:rPr>
  </w:style>
  <w:style w:type="character" w:customStyle="1" w:styleId="WW8Num1z1">
    <w:name w:val="WW8Num1z1"/>
    <w:rPr>
      <w:rFonts w:ascii="OpenSymbol" w:hAnsi="OpenSymbol" w:cs="Courier New"/>
    </w:rPr>
  </w:style>
  <w:style w:type="character" w:customStyle="1" w:styleId="WW8Num2z0">
    <w:name w:val="WW8Num2z0"/>
    <w:rPr>
      <w:rFonts w:ascii="Verdana" w:eastAsia="SimSun" w:hAnsi="Verdana" w:cs="Mang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Policepardfaut1">
    <w:name w:val="Police par défaut1"/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-tteCar">
    <w:name w:val="En-tête Car"/>
    <w:rPr>
      <w:szCs w:val="21"/>
    </w:rPr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WW-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pPr>
      <w:suppressLineNumbers/>
    </w:pPr>
  </w:style>
  <w:style w:type="paragraph" w:customStyle="1" w:styleId="WW-Standard">
    <w:name w:val="WW-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pPr>
      <w:spacing w:after="120"/>
    </w:pPr>
  </w:style>
  <w:style w:type="paragraph" w:styleId="Pieddepage">
    <w:name w:val="footer"/>
    <w:basedOn w:val="WW-Standard"/>
    <w:pPr>
      <w:suppressLineNumbers/>
    </w:pPr>
  </w:style>
  <w:style w:type="paragraph" w:customStyle="1" w:styleId="TableContents">
    <w:name w:val="Table Contents"/>
    <w:basedOn w:val="WW-Standard"/>
    <w:pPr>
      <w:suppressLineNumbers/>
    </w:pPr>
  </w:style>
  <w:style w:type="paragraph" w:styleId="En-tte">
    <w:name w:val="header"/>
    <w:basedOn w:val="Normal"/>
    <w:rPr>
      <w:szCs w:val="21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customStyle="1" w:styleId="Titre4Car">
    <w:name w:val="Titre 4 Car"/>
    <w:basedOn w:val="Policepardfaut"/>
    <w:link w:val="Titre4"/>
    <w:semiHidden/>
    <w:rsid w:val="00BB0CEE"/>
    <w:rPr>
      <w:rFonts w:asciiTheme="majorHAnsi" w:eastAsiaTheme="majorEastAsia" w:hAnsiTheme="majorHAnsi" w:cs="Mangal"/>
      <w:b/>
      <w:bCs/>
      <w:i/>
      <w:iCs/>
      <w:color w:val="4F81BD" w:themeColor="accent1"/>
      <w:kern w:val="1"/>
      <w:sz w:val="24"/>
      <w:szCs w:val="21"/>
      <w:lang w:eastAsia="zh-CN" w:bidi="hi-IN"/>
    </w:rPr>
  </w:style>
  <w:style w:type="table" w:customStyle="1" w:styleId="Listeclaire-Accent11">
    <w:name w:val="Liste claire - Accent 11"/>
    <w:basedOn w:val="TableauNormal"/>
    <w:uiPriority w:val="61"/>
    <w:rsid w:val="00BB0CEE"/>
    <w:rPr>
      <w:rFonts w:ascii="Times" w:hAnsi="Time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Paragraphedeliste">
    <w:name w:val="List Paragraph"/>
    <w:basedOn w:val="Normal"/>
    <w:uiPriority w:val="72"/>
    <w:rsid w:val="000A7EEE"/>
    <w:pPr>
      <w:ind w:left="720"/>
      <w:contextualSpacing/>
    </w:pPr>
    <w:rPr>
      <w:szCs w:val="21"/>
    </w:rPr>
  </w:style>
  <w:style w:type="paragraph" w:styleId="Textedebulles">
    <w:name w:val="Balloon Text"/>
    <w:basedOn w:val="Normal"/>
    <w:link w:val="TextedebullesCar"/>
    <w:rsid w:val="006A5C2D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6A5C2D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Marquedecommentaire">
    <w:name w:val="annotation reference"/>
    <w:basedOn w:val="Policepardfaut"/>
    <w:rsid w:val="00996B8B"/>
    <w:rPr>
      <w:sz w:val="16"/>
      <w:szCs w:val="16"/>
    </w:rPr>
  </w:style>
  <w:style w:type="paragraph" w:styleId="Commentaire">
    <w:name w:val="annotation text"/>
    <w:basedOn w:val="Normal"/>
    <w:link w:val="CommentaireCar"/>
    <w:rsid w:val="00996B8B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sid w:val="00996B8B"/>
    <w:rPr>
      <w:rFonts w:eastAsia="SimSun" w:cs="Mangal"/>
      <w:kern w:val="1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rsid w:val="00996B8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96B8B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D5F1315472C449DC7F3D5453E08EE" ma:contentTypeVersion="2" ma:contentTypeDescription="Crée un document." ma:contentTypeScope="" ma:versionID="83ca13e1ae11e557d610dfa47c2ac8a8">
  <xsd:schema xmlns:xsd="http://www.w3.org/2001/XMLSchema" xmlns:xs="http://www.w3.org/2001/XMLSchema" xmlns:p="http://schemas.microsoft.com/office/2006/metadata/properties" xmlns:ns2="c9f4b70c-db7f-4fd0-9b1d-ebaa300a76cc" targetNamespace="http://schemas.microsoft.com/office/2006/metadata/properties" ma:root="true" ma:fieldsID="7b2878665820b16b41fa788e0d90a871" ns2:_="">
    <xsd:import namespace="c9f4b70c-db7f-4fd0-9b1d-ebaa300a76c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4b70c-db7f-4fd0-9b1d-ebaa300a76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762E94-5465-4A28-861A-CB9B58E731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66E1A2-2103-4D98-A4E9-60438B19B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f4b70c-db7f-4fd0-9b1d-ebaa300a7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A20A92-4313-44A5-BC68-507151A8DA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579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Ministère de la Santé</Company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R.V. (DDCS) </cp:lastModifiedBy>
  <cp:revision>5</cp:revision>
  <cp:lastPrinted>2015-05-27T07:28:00Z</cp:lastPrinted>
  <dcterms:created xsi:type="dcterms:W3CDTF">2017-11-09T07:09:00Z</dcterms:created>
  <dcterms:modified xsi:type="dcterms:W3CDTF">2017-11-09T07:12:00Z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0x010100FE4D5F1315472C449DC7F3D5453E08EE</vt:lpwstr>
  </property>
</Properties>
</file>