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EC180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</w:t>
      </w:r>
      <w:r w:rsidR="00B73D88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</w:t>
      </w:r>
      <w:r w:rsidR="002D091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B73D88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5</w:t>
      </w:r>
    </w:p>
    <w:p w:rsidR="00571428" w:rsidRDefault="00455CF5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455CF5">
        <w:rPr>
          <w:rFonts w:ascii="Verdana" w:hAnsi="Verdana" w:cs="Verdana"/>
          <w:b/>
          <w:bCs/>
          <w:color w:val="FFFFFF"/>
          <w:sz w:val="28"/>
          <w:szCs w:val="28"/>
        </w:rPr>
        <w:t>Accompagner à l'usage du numérique et aux démarches dématérialisée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077"/>
        <w:gridCol w:w="6804"/>
      </w:tblGrid>
      <w:tr w:rsidR="00571428" w:rsidTr="00B73D88">
        <w:trPr>
          <w:trHeight w:val="754"/>
        </w:trPr>
        <w:tc>
          <w:tcPr>
            <w:tcW w:w="4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B73D88" w:rsidRDefault="00B73D88" w:rsidP="00B73D88">
            <w:pPr>
              <w:pStyle w:val="Contenudetableau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Valeurs de la République</w:t>
            </w:r>
          </w:p>
          <w:p w:rsidR="00571428" w:rsidRDefault="00B73D88" w:rsidP="000F734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Axe 2 </w:t>
            </w:r>
            <w:r w:rsidRPr="0062763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Lutter contre l'insécurité et promouvoir le respect du droit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B73D88">
            <w:pPr>
              <w:pStyle w:val="TableContents"/>
              <w:jc w:val="both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587D7A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Lutter contre les fractures numériques et favoriser l'usage de l'informatique et d'internet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3625"/>
        <w:gridCol w:w="7229"/>
      </w:tblGrid>
      <w:tr w:rsidR="00571428" w:rsidTr="00B73D88">
        <w:trPr>
          <w:trHeight w:val="150"/>
        </w:trPr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AA1156" w:rsidP="00427F1C">
            <w:pPr>
              <w:pStyle w:val="TableContents"/>
              <w:jc w:val="both"/>
            </w:pPr>
            <w:r>
              <w:t>Les services publics numériques ne cessent de se développer : services en ligne, applis smartphone, échanges de données dématérialisés… Ces services ont vocation à simplifier à la fois la vie de l’usager et le traitement des dossiers par l’administration.</w:t>
            </w:r>
          </w:p>
          <w:p w:rsidR="00AA1156" w:rsidRDefault="00AA1156" w:rsidP="00427F1C">
            <w:pPr>
              <w:pStyle w:val="TableContents"/>
              <w:jc w:val="both"/>
            </w:pPr>
          </w:p>
          <w:p w:rsidR="00B11F4D" w:rsidRPr="00EF0245" w:rsidRDefault="00427F1C" w:rsidP="00CB0F9C">
            <w:pPr>
              <w:pStyle w:val="TableContents"/>
              <w:jc w:val="both"/>
            </w:pPr>
            <w:r>
              <w:t xml:space="preserve">Si les effets positifs sont réels, une partie de la population rencontre des difficultés à réaliser des démarches </w:t>
            </w:r>
            <w:r w:rsidR="00B11F4D">
              <w:t>dématérialisées</w:t>
            </w:r>
            <w:r>
              <w:t>. Outre une assez bonne maîtrise de l’écrit, l’usage du numérique requiert par ailleurs de savoir utiliser l’outil</w:t>
            </w:r>
            <w:r w:rsidR="00B11F4D">
              <w:t xml:space="preserve"> et entretenir une relation administrative à distance.</w:t>
            </w:r>
          </w:p>
        </w:tc>
      </w:tr>
      <w:tr w:rsidR="00571428" w:rsidTr="00B73D88">
        <w:trPr>
          <w:trHeight w:val="142"/>
        </w:trPr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C74ADF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78285F" w:rsidRPr="00EF0245" w:rsidRDefault="0078285F" w:rsidP="00CB0F9C">
            <w:pPr>
              <w:pStyle w:val="TableContents"/>
              <w:spacing w:before="120" w:after="120"/>
              <w:jc w:val="both"/>
            </w:pPr>
            <w:r>
              <w:t xml:space="preserve">Dans une première étape développer une assistance aux utilisateurs. Puis favoriser leur autonomie par des actions permettant une réelle appropriation d’un socle de connaissances et </w:t>
            </w:r>
            <w:r w:rsidR="00B97777">
              <w:t xml:space="preserve">de </w:t>
            </w:r>
            <w:r>
              <w:t>compétences numériques.</w:t>
            </w:r>
          </w:p>
        </w:tc>
      </w:tr>
      <w:tr w:rsidR="00571428" w:rsidTr="00B73D88">
        <w:trPr>
          <w:trHeight w:val="170"/>
        </w:trPr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8133D" w:rsidP="00F8133D">
            <w:pPr>
              <w:pStyle w:val="TableContents"/>
              <w:spacing w:before="120" w:after="120"/>
            </w:pPr>
            <w:r>
              <w:t>Un accompagnement pédagogique</w:t>
            </w:r>
            <w:r w:rsidR="0078285F">
              <w:t xml:space="preserve"> pouvant être constitué de parcours individualisés et de temps de sensibilisation collective.</w:t>
            </w:r>
          </w:p>
          <w:p w:rsidR="0078285F" w:rsidRDefault="0078285F" w:rsidP="0078285F">
            <w:pPr>
              <w:pStyle w:val="TableContents"/>
              <w:spacing w:before="120" w:after="120"/>
            </w:pPr>
            <w:r>
              <w:t>Les parcours proposé</w:t>
            </w:r>
            <w:r w:rsidR="00B97777">
              <w:t>s doivent s’appuyer sur une identi</w:t>
            </w:r>
            <w:r>
              <w:t>fication des freins (numérique</w:t>
            </w:r>
            <w:r w:rsidR="00B97777">
              <w:t>s</w:t>
            </w:r>
            <w:r>
              <w:t xml:space="preserve"> mais pas seulement,…langue française,…)</w:t>
            </w:r>
          </w:p>
          <w:p w:rsidR="0078285F" w:rsidRPr="00EF0245" w:rsidRDefault="0078285F" w:rsidP="0078285F">
            <w:pPr>
              <w:pStyle w:val="TableContents"/>
              <w:spacing w:before="120" w:after="120"/>
            </w:pPr>
            <w:r>
              <w:t>Le socle de connaissance peut notamment comprendre les questions d’identité numérique, de repérage des techniques de hameçonnage, d’usurpation d’identité,… pour pouvoir s’en protéger.</w:t>
            </w:r>
          </w:p>
        </w:tc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F8133D" w:rsidP="0078285F">
            <w:pPr>
              <w:pStyle w:val="TableContents"/>
              <w:spacing w:before="120" w:after="120"/>
            </w:pPr>
            <w:r>
              <w:t>L’autonomi</w:t>
            </w:r>
            <w:r w:rsidR="0078285F">
              <w:t>e</w:t>
            </w:r>
            <w:r>
              <w:t xml:space="preserve"> des publics concernés</w:t>
            </w:r>
            <w:r w:rsidR="0078285F">
              <w:t xml:space="preserve"> dans l’</w:t>
            </w:r>
            <w:r w:rsidR="00A519DF">
              <w:t>accès</w:t>
            </w:r>
            <w:r w:rsidR="0078285F">
              <w:t xml:space="preserve"> aux droits au travers des démarches matérialisées.</w:t>
            </w:r>
          </w:p>
        </w:tc>
        <w:bookmarkStart w:id="0" w:name="_GoBack"/>
        <w:bookmarkEnd w:id="0"/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3637DD" w:rsidP="003637DD">
            <w:pPr>
              <w:pStyle w:val="TableContents"/>
              <w:spacing w:before="120" w:after="120"/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8133D" w:rsidP="00B73D88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Préfecture</w:t>
            </w:r>
          </w:p>
          <w:p w:rsidR="00F8133D" w:rsidRPr="000B0B12" w:rsidRDefault="00CB0F9C" w:rsidP="00B73D88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Villes</w:t>
            </w:r>
          </w:p>
        </w:tc>
      </w:tr>
      <w:tr w:rsidR="00571428" w:rsidTr="00B73D88">
        <w:trPr>
          <w:trHeight w:val="95"/>
        </w:trPr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8133D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Centres sociaux</w:t>
            </w:r>
          </w:p>
          <w:p w:rsidR="00F8133D" w:rsidRPr="00EF0245" w:rsidRDefault="00F8133D" w:rsidP="00F8133D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Maisons de Service Au Public</w:t>
            </w:r>
          </w:p>
        </w:tc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E4559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F8133D" w:rsidP="00F8133D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1E25CA">
              <w:rPr>
                <w:rFonts w:cs="Times New Roman"/>
              </w:rPr>
              <w:t>Les crédits du CGET</w:t>
            </w:r>
            <w:r>
              <w:rPr>
                <w:rFonts w:cs="Times New Roman"/>
              </w:rPr>
              <w:t xml:space="preserve"> (BOP 147)</w:t>
            </w:r>
          </w:p>
        </w:tc>
      </w:tr>
      <w:tr w:rsidR="00571428" w:rsidTr="00B73D88">
        <w:trPr>
          <w:trHeight w:val="272"/>
        </w:trPr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3637DD" w:rsidP="003637DD">
            <w:pPr>
              <w:pStyle w:val="TableContents"/>
              <w:spacing w:before="120" w:after="120"/>
            </w:pPr>
            <w:r>
              <w:t>Actions annuelles</w:t>
            </w:r>
          </w:p>
        </w:tc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1A1184" w:rsidRDefault="001A1184" w:rsidP="001A1184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Nombre d’habitants des quartiers bénéficiaires d’un accompagnement aux démarches dématérialisées</w:t>
            </w:r>
          </w:p>
        </w:tc>
      </w:tr>
      <w:tr w:rsidR="00220E4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220E4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</w:p>
        </w:tc>
      </w:tr>
      <w:tr w:rsidR="00571428" w:rsidTr="00B73D88">
        <w:tc>
          <w:tcPr>
            <w:tcW w:w="3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B73D88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Liens autres enjeux / fiches « orientations </w:t>
            </w:r>
            <w:r w:rsidR="00B73D8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pérationnelles »</w:t>
            </w:r>
          </w:p>
        </w:tc>
        <w:tc>
          <w:tcPr>
            <w:tcW w:w="72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B73D88" w:rsidP="002453C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 xml:space="preserve">Fiche </w:t>
            </w:r>
            <w:r>
              <w:t>431 – Eduquer aux médias et réseaux sociaux</w:t>
            </w:r>
          </w:p>
        </w:tc>
      </w:tr>
    </w:tbl>
    <w:p w:rsidR="00571428" w:rsidRDefault="00571428" w:rsidP="00B73D88">
      <w:pPr>
        <w:pStyle w:val="Normal1"/>
        <w:widowControl/>
        <w:suppressAutoHyphens w:val="0"/>
        <w:textAlignment w:val="auto"/>
      </w:pPr>
    </w:p>
    <w:sectPr w:rsidR="00571428" w:rsidSect="00571428">
      <w:footerReference w:type="default" r:id="rId8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BF8" w:rsidRDefault="00E05BF8" w:rsidP="00571428">
      <w:r>
        <w:separator/>
      </w:r>
    </w:p>
  </w:endnote>
  <w:endnote w:type="continuationSeparator" w:id="0">
    <w:p w:rsidR="00E05BF8" w:rsidRDefault="00E05BF8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08" w:rsidRDefault="003F4108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B73D88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3F4108" w:rsidRDefault="003F4108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proofErr w:type="gramStart"/>
    <w:r>
      <w:rPr>
        <w:rFonts w:ascii="Verdana" w:hAnsi="Verdana" w:cs="Verdana"/>
        <w:sz w:val="16"/>
        <w:szCs w:val="16"/>
      </w:rPr>
      <w:t xml:space="preserve">:  </w:t>
    </w:r>
    <w:r w:rsidR="00B73D88">
      <w:rPr>
        <w:rFonts w:ascii="Verdana" w:hAnsi="Verdana" w:cs="Verdana"/>
        <w:sz w:val="16"/>
        <w:szCs w:val="16"/>
      </w:rPr>
      <w:t>15</w:t>
    </w:r>
    <w:proofErr w:type="gramEnd"/>
    <w:r w:rsidR="00B73D88">
      <w:rPr>
        <w:rFonts w:ascii="Verdana" w:hAnsi="Verdana" w:cs="Verdana"/>
        <w:sz w:val="16"/>
        <w:szCs w:val="16"/>
      </w:rPr>
      <w:t xml:space="preserve"> novembre </w:t>
    </w:r>
    <w:r>
      <w:rPr>
        <w:rFonts w:ascii="Verdana" w:hAnsi="Verdana" w:cs="Verdana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BF8" w:rsidRDefault="00E05BF8" w:rsidP="00571428">
      <w:r>
        <w:separator/>
      </w:r>
    </w:p>
  </w:footnote>
  <w:footnote w:type="continuationSeparator" w:id="0">
    <w:p w:rsidR="00E05BF8" w:rsidRDefault="00E05BF8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96E43"/>
    <w:rsid w:val="000B0B12"/>
    <w:rsid w:val="000F7340"/>
    <w:rsid w:val="0015203C"/>
    <w:rsid w:val="001A1184"/>
    <w:rsid w:val="001D0C4D"/>
    <w:rsid w:val="00214605"/>
    <w:rsid w:val="00220E48"/>
    <w:rsid w:val="002267AC"/>
    <w:rsid w:val="002441A2"/>
    <w:rsid w:val="002453CC"/>
    <w:rsid w:val="002801BA"/>
    <w:rsid w:val="002A5694"/>
    <w:rsid w:val="002D0912"/>
    <w:rsid w:val="0031610D"/>
    <w:rsid w:val="003269D5"/>
    <w:rsid w:val="00326AF7"/>
    <w:rsid w:val="003557D2"/>
    <w:rsid w:val="003637DD"/>
    <w:rsid w:val="003F4108"/>
    <w:rsid w:val="00427F1C"/>
    <w:rsid w:val="0044462E"/>
    <w:rsid w:val="00455CF5"/>
    <w:rsid w:val="00483287"/>
    <w:rsid w:val="004F7116"/>
    <w:rsid w:val="00521EC1"/>
    <w:rsid w:val="00536AE8"/>
    <w:rsid w:val="00563EE4"/>
    <w:rsid w:val="00571428"/>
    <w:rsid w:val="00587D7A"/>
    <w:rsid w:val="00620514"/>
    <w:rsid w:val="00624EE2"/>
    <w:rsid w:val="00673423"/>
    <w:rsid w:val="006E5FA4"/>
    <w:rsid w:val="0078285F"/>
    <w:rsid w:val="00897288"/>
    <w:rsid w:val="009A6EFA"/>
    <w:rsid w:val="009E0619"/>
    <w:rsid w:val="00A519DF"/>
    <w:rsid w:val="00A70AA1"/>
    <w:rsid w:val="00AA1156"/>
    <w:rsid w:val="00AD3EED"/>
    <w:rsid w:val="00B11F4D"/>
    <w:rsid w:val="00B73D88"/>
    <w:rsid w:val="00B97777"/>
    <w:rsid w:val="00BC0D50"/>
    <w:rsid w:val="00C60BD3"/>
    <w:rsid w:val="00C74ADF"/>
    <w:rsid w:val="00C77461"/>
    <w:rsid w:val="00CB0F9C"/>
    <w:rsid w:val="00D059C2"/>
    <w:rsid w:val="00D16105"/>
    <w:rsid w:val="00D204A5"/>
    <w:rsid w:val="00D56489"/>
    <w:rsid w:val="00D66867"/>
    <w:rsid w:val="00DE7DB3"/>
    <w:rsid w:val="00E05BF8"/>
    <w:rsid w:val="00E33B9B"/>
    <w:rsid w:val="00E34BB6"/>
    <w:rsid w:val="00E45596"/>
    <w:rsid w:val="00E84E05"/>
    <w:rsid w:val="00E87018"/>
    <w:rsid w:val="00EC1801"/>
    <w:rsid w:val="00ED0C23"/>
    <w:rsid w:val="00EF0245"/>
    <w:rsid w:val="00F51719"/>
    <w:rsid w:val="00F80962"/>
    <w:rsid w:val="00F8133D"/>
    <w:rsid w:val="00F905AD"/>
    <w:rsid w:val="00FA7676"/>
    <w:rsid w:val="00FB20F2"/>
    <w:rsid w:val="00FE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uiPriority w:val="99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ED0C23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ED0C23"/>
  </w:style>
  <w:style w:type="paragraph" w:styleId="Pieddepage">
    <w:name w:val="footer"/>
    <w:basedOn w:val="Normal"/>
    <w:link w:val="PieddepageCar"/>
    <w:rsid w:val="00ED0C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D0C23"/>
  </w:style>
  <w:style w:type="paragraph" w:styleId="Textedebulles">
    <w:name w:val="Balloon Text"/>
    <w:basedOn w:val="Normal"/>
    <w:link w:val="TextedebullesCar"/>
    <w:rsid w:val="0078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8285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587D7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7D7A"/>
  </w:style>
  <w:style w:type="character" w:customStyle="1" w:styleId="CommentaireCar">
    <w:name w:val="Commentaire Car"/>
    <w:basedOn w:val="Policepardfaut"/>
    <w:link w:val="Commentaire"/>
    <w:rsid w:val="00587D7A"/>
  </w:style>
  <w:style w:type="paragraph" w:styleId="Objetducommentaire">
    <w:name w:val="annotation subject"/>
    <w:basedOn w:val="Commentaire"/>
    <w:next w:val="Commentaire"/>
    <w:link w:val="ObjetducommentaireCar"/>
    <w:rsid w:val="00587D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87D7A"/>
    <w:rPr>
      <w:b/>
      <w:bCs/>
    </w:rPr>
  </w:style>
  <w:style w:type="character" w:customStyle="1" w:styleId="ListLabel8">
    <w:name w:val="ListLabel 8"/>
    <w:uiPriority w:val="99"/>
    <w:rsid w:val="00B73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ED0C23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ED0C23"/>
  </w:style>
  <w:style w:type="paragraph" w:styleId="Pieddepage">
    <w:name w:val="footer"/>
    <w:basedOn w:val="Normal"/>
    <w:link w:val="PieddepageCar"/>
    <w:rsid w:val="00ED0C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D0C23"/>
  </w:style>
  <w:style w:type="paragraph" w:styleId="Textedebulles">
    <w:name w:val="Balloon Text"/>
    <w:basedOn w:val="Normal"/>
    <w:link w:val="TextedebullesCar"/>
    <w:rsid w:val="0078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8285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587D7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7D7A"/>
  </w:style>
  <w:style w:type="character" w:customStyle="1" w:styleId="CommentaireCar">
    <w:name w:val="Commentaire Car"/>
    <w:basedOn w:val="Policepardfaut"/>
    <w:link w:val="Commentaire"/>
    <w:rsid w:val="00587D7A"/>
  </w:style>
  <w:style w:type="paragraph" w:styleId="Objetducommentaire">
    <w:name w:val="annotation subject"/>
    <w:basedOn w:val="Commentaire"/>
    <w:next w:val="Commentaire"/>
    <w:link w:val="ObjetducommentaireCar"/>
    <w:rsid w:val="00587D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87D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1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84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0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6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637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126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52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29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4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476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810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03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66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914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20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480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03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184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617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1F841-8485-4D3D-9569-32B855CA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3</cp:revision>
  <cp:lastPrinted>2015-05-27T07:28:00Z</cp:lastPrinted>
  <dcterms:created xsi:type="dcterms:W3CDTF">2017-11-08T12:39:00Z</dcterms:created>
  <dcterms:modified xsi:type="dcterms:W3CDTF">2017-11-08T12:44:00Z</dcterms:modified>
  <dc:language>fr-FR</dc:language>
</cp:coreProperties>
</file>