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01" w:rsidRDefault="617475C1" w:rsidP="00827890">
      <w:pPr>
        <w:pStyle w:val="WW-Standard"/>
        <w:spacing w:after="57"/>
        <w:jc w:val="center"/>
        <w:rPr>
          <w:rFonts w:ascii="Verdana" w:hAnsi="Verdana" w:cs="Verdana"/>
          <w:b/>
          <w:bCs/>
          <w:sz w:val="28"/>
          <w:szCs w:val="28"/>
        </w:rPr>
      </w:pPr>
      <w:r w:rsidRPr="617475C1">
        <w:rPr>
          <w:rFonts w:ascii="Verdana" w:eastAsia="Verdana" w:hAnsi="Verdana" w:cs="Verdana"/>
          <w:b/>
          <w:bCs/>
          <w:sz w:val="28"/>
          <w:szCs w:val="28"/>
        </w:rPr>
        <w:t>FICHE 1.3.3</w:t>
      </w:r>
      <w:r w:rsidR="008B69D8">
        <w:rPr>
          <w:rFonts w:ascii="Verdana" w:eastAsia="Verdana" w:hAnsi="Verdana" w:cs="Verdana"/>
          <w:b/>
          <w:bCs/>
          <w:sz w:val="28"/>
          <w:szCs w:val="28"/>
        </w:rPr>
        <w:t xml:space="preserve"> </w:t>
      </w:r>
      <w:r w:rsidR="008B69D8" w:rsidRPr="00617FC3">
        <w:rPr>
          <w:rFonts w:ascii="Verdana" w:hAnsi="Verdana" w:cs="Verdana"/>
          <w:b/>
          <w:bCs/>
          <w:i/>
          <w:color w:val="17365D" w:themeColor="text2" w:themeShade="BF"/>
          <w:sz w:val="16"/>
          <w:szCs w:val="16"/>
        </w:rPr>
        <w:t>(version 2017)</w:t>
      </w:r>
    </w:p>
    <w:p w:rsidR="0088450D" w:rsidRPr="00243AF9" w:rsidRDefault="004E59AB" w:rsidP="00243AF9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>
        <w:rPr>
          <w:rFonts w:ascii="Verdana" w:hAnsi="Verdana" w:cs="Verdana"/>
          <w:b/>
          <w:bCs/>
          <w:color w:val="FFFFFF"/>
          <w:sz w:val="28"/>
          <w:szCs w:val="28"/>
        </w:rPr>
        <w:t>REALISER UN DIAGNOSTIC</w:t>
      </w:r>
      <w:r w:rsidR="00C839E2">
        <w:rPr>
          <w:rFonts w:ascii="Verdana" w:hAnsi="Verdana" w:cs="Verdana"/>
          <w:b/>
          <w:bCs/>
          <w:color w:val="FFFFFF"/>
          <w:sz w:val="28"/>
          <w:szCs w:val="28"/>
        </w:rPr>
        <w:t xml:space="preserve"> </w:t>
      </w:r>
    </w:p>
    <w:p w:rsidR="0088450D" w:rsidRDefault="0088450D" w:rsidP="00827890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B8CCE4"/>
        <w:tblLook w:val="01E0"/>
      </w:tblPr>
      <w:tblGrid>
        <w:gridCol w:w="3085"/>
        <w:gridCol w:w="7796"/>
      </w:tblGrid>
      <w:tr w:rsidR="00827890" w:rsidRPr="00243AF9" w:rsidTr="00A3389F">
        <w:trPr>
          <w:trHeight w:val="754"/>
        </w:trPr>
        <w:tc>
          <w:tcPr>
            <w:tcW w:w="3085" w:type="dxa"/>
            <w:shd w:val="clear" w:color="auto" w:fill="B8CCE4"/>
            <w:vAlign w:val="center"/>
          </w:tcPr>
          <w:p w:rsidR="004206A3" w:rsidRPr="00243AF9" w:rsidRDefault="003966A6" w:rsidP="004206A3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</w:t>
            </w:r>
            <w:r w:rsidR="00633A2F"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  <w:r w:rsidR="004E59AB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1</w:t>
            </w:r>
          </w:p>
          <w:p w:rsidR="00141401" w:rsidRPr="00243AF9" w:rsidRDefault="004E59AB" w:rsidP="0088450D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 3</w:t>
            </w:r>
          </w:p>
        </w:tc>
        <w:tc>
          <w:tcPr>
            <w:tcW w:w="7796" w:type="dxa"/>
            <w:shd w:val="clear" w:color="auto" w:fill="B8CCE4"/>
            <w:vAlign w:val="center"/>
          </w:tcPr>
          <w:p w:rsidR="00827890" w:rsidRPr="00243AF9" w:rsidRDefault="004E59AB" w:rsidP="00827890">
            <w:pPr>
              <w:pStyle w:val="TableContents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 : Mieux connaître les besoins et les pratiques en matière de santé dans les quartiers prioritaires</w:t>
            </w:r>
          </w:p>
        </w:tc>
      </w:tr>
    </w:tbl>
    <w:p w:rsidR="00827890" w:rsidRPr="00243AF9" w:rsidRDefault="00827890" w:rsidP="00827890">
      <w:pPr>
        <w:pStyle w:val="WW-Standard"/>
        <w:spacing w:after="57"/>
        <w:jc w:val="center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058"/>
        <w:gridCol w:w="7796"/>
      </w:tblGrid>
      <w:tr w:rsidR="00827890" w:rsidRPr="00243AF9" w:rsidTr="00A3389F">
        <w:trPr>
          <w:trHeight w:val="2070"/>
        </w:trPr>
        <w:tc>
          <w:tcPr>
            <w:tcW w:w="3058" w:type="dxa"/>
            <w:shd w:val="clear" w:color="auto" w:fill="B8CCE4" w:themeFill="accent1" w:themeFillTint="66"/>
          </w:tcPr>
          <w:p w:rsidR="00827890" w:rsidRPr="00243AF9" w:rsidRDefault="00827890" w:rsidP="0088450D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Contexte</w:t>
            </w:r>
            <w:r w:rsidR="00633A2F"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(constats/ besoins)</w:t>
            </w:r>
          </w:p>
        </w:tc>
        <w:tc>
          <w:tcPr>
            <w:tcW w:w="7796" w:type="dxa"/>
            <w:shd w:val="clear" w:color="auto" w:fill="B8CCE4" w:themeFill="accent1" w:themeFillTint="66"/>
          </w:tcPr>
          <w:p w:rsidR="004E59AB" w:rsidRPr="004F0F76" w:rsidRDefault="09AACA43" w:rsidP="09AACA43">
            <w:pPr>
              <w:pStyle w:val="TableContents"/>
              <w:numPr>
                <w:ilvl w:val="0"/>
                <w:numId w:val="2"/>
              </w:numPr>
              <w:spacing w:before="120" w:after="120" w:line="259" w:lineRule="auto"/>
              <w:ind w:right="-1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Une offre de soin partiellement connue et en grande partie accessible, mais des données sur les problématiques santé des habitants des quartiers anciennes</w:t>
            </w:r>
          </w:p>
          <w:p w:rsidR="00EE7747" w:rsidRPr="0093012E" w:rsidRDefault="09AACA43" w:rsidP="09AACA43">
            <w:pPr>
              <w:pStyle w:val="TableContents"/>
              <w:numPr>
                <w:ilvl w:val="0"/>
                <w:numId w:val="2"/>
              </w:numPr>
              <w:spacing w:before="120" w:after="120" w:line="259" w:lineRule="auto"/>
              <w:ind w:right="-1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Une difficulté pour réfléchir à l’échelle quartier en raison du manque d’indicateurs spécifiques et de sources existantes accessibles à cette échelle</w:t>
            </w:r>
          </w:p>
        </w:tc>
      </w:tr>
      <w:tr w:rsidR="00827890" w:rsidRPr="00243AF9" w:rsidTr="00A3389F">
        <w:trPr>
          <w:trHeight w:val="142"/>
        </w:trPr>
        <w:tc>
          <w:tcPr>
            <w:tcW w:w="3058" w:type="dxa"/>
            <w:shd w:val="clear" w:color="auto" w:fill="B8CCE4" w:themeFill="accent1" w:themeFillTint="66"/>
          </w:tcPr>
          <w:p w:rsidR="00827890" w:rsidRPr="00243AF9" w:rsidRDefault="09AACA43" w:rsidP="0088450D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9AACA43">
              <w:rPr>
                <w:rFonts w:ascii="Verdana" w:eastAsia="Verdana" w:hAnsi="Verdana" w:cs="Verdana"/>
                <w:b/>
                <w:bCs/>
                <w:color w:val="1F497D" w:themeColor="text2"/>
                <w:sz w:val="20"/>
                <w:szCs w:val="20"/>
              </w:rPr>
              <w:t>Objectifs et dynamiques</w:t>
            </w:r>
          </w:p>
        </w:tc>
        <w:tc>
          <w:tcPr>
            <w:tcW w:w="7796" w:type="dxa"/>
            <w:shd w:val="clear" w:color="auto" w:fill="B8CCE4" w:themeFill="accent1" w:themeFillTint="66"/>
          </w:tcPr>
          <w:p w:rsidR="004E59AB" w:rsidRPr="004F0F76" w:rsidRDefault="09AACA43" w:rsidP="00A3389F">
            <w:pPr>
              <w:pStyle w:val="TableContents"/>
              <w:spacing w:before="120" w:after="120" w:line="259" w:lineRule="auto"/>
              <w:ind w:right="-1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L’amélioration de l’accès aux soins de 1er recours et le renforcement des initiatives de prévention dans les quartiers pourront passer par la réalisation d’un diagnostic qualitatif partagé, à l’échelle des quartiers sur :</w:t>
            </w:r>
          </w:p>
          <w:p w:rsidR="004E59AB" w:rsidRPr="004F0F76" w:rsidRDefault="09AACA43" w:rsidP="00A3389F">
            <w:pPr>
              <w:pStyle w:val="TableContents"/>
              <w:numPr>
                <w:ilvl w:val="1"/>
                <w:numId w:val="8"/>
              </w:numPr>
              <w:spacing w:before="120" w:after="120" w:line="259" w:lineRule="auto"/>
              <w:ind w:right="-10"/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l’état de santé des habitants</w:t>
            </w:r>
          </w:p>
          <w:p w:rsidR="00A3389F" w:rsidRPr="00A3389F" w:rsidRDefault="09AACA43" w:rsidP="00A3389F">
            <w:pPr>
              <w:pStyle w:val="TableContents"/>
              <w:numPr>
                <w:ilvl w:val="1"/>
                <w:numId w:val="8"/>
              </w:numPr>
              <w:spacing w:before="120" w:after="120" w:line="259" w:lineRule="auto"/>
              <w:ind w:right="-10"/>
            </w:pPr>
            <w:r w:rsidRPr="00A3389F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l’offre de « droit commun »</w:t>
            </w:r>
          </w:p>
          <w:p w:rsidR="004E59AB" w:rsidRPr="004F0F76" w:rsidRDefault="09AACA43" w:rsidP="00A3389F">
            <w:pPr>
              <w:pStyle w:val="TableContents"/>
              <w:numPr>
                <w:ilvl w:val="1"/>
                <w:numId w:val="8"/>
              </w:numPr>
              <w:spacing w:before="120" w:after="120" w:line="259" w:lineRule="auto"/>
              <w:ind w:right="-10"/>
            </w:pPr>
            <w:r w:rsidRPr="00A3389F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le cas échéant, l’offre spécifique de prévention sur les quartiers</w:t>
            </w:r>
          </w:p>
          <w:p w:rsidR="00EE7747" w:rsidRPr="00243AF9" w:rsidRDefault="09AACA43" w:rsidP="00A3389F">
            <w:pPr>
              <w:pStyle w:val="TableContents"/>
              <w:numPr>
                <w:ilvl w:val="1"/>
                <w:numId w:val="8"/>
              </w:numPr>
              <w:spacing w:before="120" w:after="120" w:line="259" w:lineRule="auto"/>
              <w:ind w:right="-10"/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les avis, ressentis des habitant</w:t>
            </w:r>
            <w:r w:rsidRPr="09AACA43">
              <w:rPr>
                <w:rFonts w:ascii="Verdana,Arial" w:eastAsia="Verdana,Arial" w:hAnsi="Verdana,Arial" w:cs="Verdana,Arial"/>
                <w:i/>
                <w:iCs/>
                <w:color w:val="262626" w:themeColor="text1" w:themeTint="D9"/>
                <w:sz w:val="20"/>
                <w:szCs w:val="20"/>
              </w:rPr>
              <w:t>s</w:t>
            </w:r>
          </w:p>
        </w:tc>
      </w:tr>
      <w:tr w:rsidR="00827890" w:rsidRPr="00243AF9" w:rsidTr="00A3389F">
        <w:trPr>
          <w:trHeight w:val="170"/>
        </w:trPr>
        <w:tc>
          <w:tcPr>
            <w:tcW w:w="3058" w:type="dxa"/>
            <w:shd w:val="clear" w:color="auto" w:fill="B8CCE4" w:themeFill="accent1" w:themeFillTint="66"/>
          </w:tcPr>
          <w:p w:rsidR="00827890" w:rsidRPr="00243AF9" w:rsidRDefault="00827890" w:rsidP="0088450D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Résultats attendus</w:t>
            </w:r>
          </w:p>
        </w:tc>
        <w:tc>
          <w:tcPr>
            <w:tcW w:w="7796" w:type="dxa"/>
            <w:shd w:val="clear" w:color="auto" w:fill="B8CCE4" w:themeFill="accent1" w:themeFillTint="66"/>
          </w:tcPr>
          <w:p w:rsidR="00B16BC2" w:rsidRPr="00A3389F" w:rsidRDefault="63714F01" w:rsidP="09AACA43">
            <w:pPr>
              <w:pStyle w:val="TableContents"/>
              <w:spacing w:before="120" w:after="120" w:line="259" w:lineRule="auto"/>
              <w:ind w:left="720" w:right="-1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00A3389F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1</w:t>
            </w:r>
            <w:r w:rsidRPr="63714F01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) Réaliser un diagnostic qualitatif: état des lieux de l’offre de santé </w:t>
            </w:r>
            <w:r w:rsidRPr="00A3389F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existante à l'échelle communale avec un zoom sur chaque quartier</w:t>
            </w:r>
            <w:r w:rsidRPr="63714F01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 </w:t>
            </w:r>
            <w:r w:rsidRPr="00A3389F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et identification</w:t>
            </w:r>
            <w:r w:rsidRPr="63714F01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 des besoins des habitants</w:t>
            </w:r>
            <w:r w:rsidR="00E96B32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 (par voie d'enquête, sondage, …)</w:t>
            </w:r>
          </w:p>
          <w:p w:rsidR="00186832" w:rsidRPr="00A3389F" w:rsidRDefault="09AACA43" w:rsidP="09AACA43">
            <w:pPr>
              <w:pStyle w:val="TableContents"/>
              <w:spacing w:before="120" w:after="120" w:line="259" w:lineRule="auto"/>
              <w:ind w:left="720" w:right="-1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00A3389F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2) Mettre en place les actions permettant d'améliorer l’accès aux soins de 1er recours</w:t>
            </w:r>
          </w:p>
          <w:p w:rsidR="00186832" w:rsidRPr="00A3389F" w:rsidRDefault="00B16BC2" w:rsidP="09AACA43">
            <w:pPr>
              <w:pStyle w:val="TableContents"/>
              <w:spacing w:before="120" w:after="120" w:line="259" w:lineRule="auto"/>
              <w:ind w:left="720" w:right="-1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00A3389F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3) </w:t>
            </w:r>
            <w:r w:rsidR="00450628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R</w:t>
            </w:r>
            <w:r w:rsidR="00A77021" w:rsidRPr="00A3389F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enforcer l’offre de prévention (</w:t>
            </w:r>
            <w:r w:rsidR="00DB0BE4" w:rsidRPr="00A3389F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santé mentale,</w:t>
            </w:r>
            <w:r w:rsidR="00A77021" w:rsidRPr="00A3389F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 prévention des conduites à risques et des addictions, </w:t>
            </w:r>
            <w:r w:rsidR="00023C45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nutrition et activité physique</w:t>
            </w:r>
            <w:r w:rsidR="00A77021" w:rsidRPr="00A3389F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),</w:t>
            </w:r>
          </w:p>
          <w:p w:rsidR="00186832" w:rsidRPr="00A3389F" w:rsidRDefault="00A77021" w:rsidP="09AACA43">
            <w:pPr>
              <w:pStyle w:val="TableContents"/>
              <w:spacing w:before="120" w:after="120" w:line="259" w:lineRule="auto"/>
              <w:ind w:left="720" w:right="-10"/>
              <w:rPr>
                <w:rFonts w:ascii="Verdana" w:eastAsia="Verdana" w:hAnsi="Verdana" w:cs="Verdana"/>
                <w:color w:val="1F487C"/>
                <w:sz w:val="20"/>
                <w:szCs w:val="20"/>
              </w:rPr>
            </w:pPr>
            <w:r w:rsidRPr="00A3389F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4) Développer les formations des acteurs de 1ère ligne et de la lutte contre les inégalités d’accès et de recours au dépistage des cancers</w:t>
            </w:r>
            <w:r w:rsidR="00023C45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 (et autres ? diabète…</w:t>
            </w:r>
            <w:r w:rsidR="00376CE1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 xml:space="preserve"> à adapter en fonction du diagnostic</w:t>
            </w:r>
            <w:r w:rsidR="00023C45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)</w:t>
            </w:r>
            <w:r w:rsidRPr="00A3389F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, comme relais de mise en place d'actions ultérieur</w:t>
            </w:r>
            <w:r w:rsidR="00023C45">
              <w:rPr>
                <w:rFonts w:ascii="Verdana" w:eastAsia="Verdana" w:hAnsi="Verdana" w:cs="Verdana"/>
                <w:color w:val="1F487C"/>
                <w:sz w:val="20"/>
                <w:szCs w:val="20"/>
              </w:rPr>
              <w:t>es</w:t>
            </w:r>
          </w:p>
        </w:tc>
      </w:tr>
      <w:tr w:rsidR="09AACA43" w:rsidTr="00A3389F">
        <w:tc>
          <w:tcPr>
            <w:tcW w:w="3058" w:type="dxa"/>
            <w:shd w:val="clear" w:color="auto" w:fill="B8CCE4" w:themeFill="accent1" w:themeFillTint="66"/>
          </w:tcPr>
          <w:p w:rsidR="09AACA43" w:rsidRDefault="09AACA43" w:rsidP="09AACA43">
            <w:pPr>
              <w:pStyle w:val="TableContents"/>
            </w:pPr>
            <w:r w:rsidRPr="09AACA43">
              <w:rPr>
                <w:rFonts w:ascii="Verdana" w:eastAsia="Verdana" w:hAnsi="Verdana" w:cs="Verdana"/>
                <w:b/>
                <w:bCs/>
                <w:color w:val="1F497D" w:themeColor="text2"/>
                <w:sz w:val="20"/>
                <w:szCs w:val="20"/>
              </w:rPr>
              <w:t>Effets attendus</w:t>
            </w:r>
          </w:p>
        </w:tc>
        <w:tc>
          <w:tcPr>
            <w:tcW w:w="7796" w:type="dxa"/>
            <w:shd w:val="clear" w:color="auto" w:fill="B8CCE4" w:themeFill="accent1" w:themeFillTint="66"/>
          </w:tcPr>
          <w:p w:rsidR="00A3389F" w:rsidRDefault="00A3389F" w:rsidP="09AACA43">
            <w:pPr>
              <w:pStyle w:val="TableContents"/>
              <w:spacing w:before="120" w:after="120" w:line="259" w:lineRule="auto"/>
              <w:ind w:left="720" w:right="-10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1/ avoir un portrait des quartiers précis sur cette thématique</w:t>
            </w:r>
          </w:p>
          <w:p w:rsidR="09AACA43" w:rsidRDefault="09AACA43" w:rsidP="09AACA43">
            <w:pPr>
              <w:pStyle w:val="TableContents"/>
              <w:spacing w:before="120" w:after="120" w:line="259" w:lineRule="auto"/>
              <w:ind w:left="720" w:right="-10"/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2/ </w:t>
            </w:r>
            <w:r w:rsidR="00A3389F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et 3/ </w:t>
            </w: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Faciliter l’installation de jeunes médecins, le regroupement des professionnels de santé et la coordination des dispositifs d’accès aux soins spécifiques</w:t>
            </w:r>
            <w:r w:rsidR="002D098C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,</w:t>
            </w:r>
            <w:bookmarkStart w:id="0" w:name="_GoBack"/>
            <w:bookmarkEnd w:id="0"/>
            <w:r w:rsidR="002D098C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pour répondre aux besoins identifiés</w:t>
            </w:r>
          </w:p>
          <w:p w:rsidR="09AACA43" w:rsidRDefault="00A3389F" w:rsidP="00A3389F">
            <w:pPr>
              <w:pStyle w:val="TableContents"/>
              <w:spacing w:before="120" w:after="120" w:line="259" w:lineRule="auto"/>
              <w:ind w:left="720" w:right="-10"/>
            </w:pPr>
            <w:r w:rsidRPr="00A3389F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4/ permettre une meilleure orientation des publics par des acteurs de proximité mieux formés</w:t>
            </w:r>
          </w:p>
        </w:tc>
      </w:tr>
      <w:tr w:rsidR="00827890" w:rsidRPr="00243AF9" w:rsidTr="00A3389F">
        <w:tc>
          <w:tcPr>
            <w:tcW w:w="3058" w:type="dxa"/>
            <w:shd w:val="clear" w:color="auto" w:fill="B8CCE4" w:themeFill="accent1" w:themeFillTint="66"/>
          </w:tcPr>
          <w:p w:rsidR="00827890" w:rsidRPr="00243AF9" w:rsidRDefault="0088450D" w:rsidP="0088450D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(</w:t>
            </w:r>
            <w:r w:rsidR="00633A2F"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agglomération/ ville/ 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q</w:t>
            </w:r>
            <w:r w:rsidR="00827890"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uartier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)</w:t>
            </w:r>
          </w:p>
          <w:p w:rsidR="00633A2F" w:rsidRPr="00243AF9" w:rsidRDefault="00633A2F" w:rsidP="0088450D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Villes et quartiers concernés</w:t>
            </w:r>
          </w:p>
        </w:tc>
        <w:tc>
          <w:tcPr>
            <w:tcW w:w="7796" w:type="dxa"/>
            <w:shd w:val="clear" w:color="auto" w:fill="B8CCE4" w:themeFill="accent1" w:themeFillTint="66"/>
          </w:tcPr>
          <w:p w:rsidR="00EE7747" w:rsidRPr="004F0F76" w:rsidRDefault="09AACA43" w:rsidP="09AACA43">
            <w:pPr>
              <w:pStyle w:val="TableContents"/>
              <w:spacing w:before="120" w:after="120" w:line="259" w:lineRule="auto"/>
              <w:ind w:left="720" w:right="-10"/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1/ </w:t>
            </w:r>
            <w:r w:rsidRPr="00A3389F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et 4/</w:t>
            </w: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Tous les quartiers</w:t>
            </w:r>
            <w:r w:rsidR="0049787A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prioritaires</w:t>
            </w:r>
          </w:p>
          <w:p w:rsidR="00907CFB" w:rsidRPr="00243AF9" w:rsidRDefault="09AACA43" w:rsidP="09AACA43">
            <w:pPr>
              <w:pStyle w:val="TableContents"/>
              <w:spacing w:before="120" w:after="120" w:line="259" w:lineRule="auto"/>
              <w:ind w:left="720" w:right="-10"/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2/ et 3/ selon les conclusions du diagnostic</w:t>
            </w:r>
          </w:p>
        </w:tc>
      </w:tr>
      <w:tr w:rsidR="00141401" w:rsidRPr="00243AF9" w:rsidTr="00A3389F">
        <w:tc>
          <w:tcPr>
            <w:tcW w:w="3058" w:type="dxa"/>
            <w:shd w:val="clear" w:color="auto" w:fill="B8CCE4" w:themeFill="accent1" w:themeFillTint="66"/>
          </w:tcPr>
          <w:p w:rsidR="00141401" w:rsidRPr="00A60403" w:rsidRDefault="00A60403" w:rsidP="00A6040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Animateurs</w:t>
            </w:r>
            <w:r w:rsidR="0025146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shd w:val="clear" w:color="auto" w:fill="B8CCE4" w:themeFill="accent1" w:themeFillTint="66"/>
          </w:tcPr>
          <w:p w:rsidR="00141401" w:rsidRPr="00243AF9" w:rsidRDefault="09AACA43" w:rsidP="00023C45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Tour</w:t>
            </w:r>
            <w:r w:rsidR="00023C45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métropole Val de Loire</w:t>
            </w:r>
          </w:p>
        </w:tc>
      </w:tr>
      <w:tr w:rsidR="00141401" w:rsidRPr="00243AF9" w:rsidTr="00A3389F">
        <w:trPr>
          <w:trHeight w:val="95"/>
        </w:trPr>
        <w:tc>
          <w:tcPr>
            <w:tcW w:w="3058" w:type="dxa"/>
            <w:shd w:val="clear" w:color="auto" w:fill="B8CCE4" w:themeFill="accent1" w:themeFillTint="66"/>
          </w:tcPr>
          <w:p w:rsidR="00251461" w:rsidRPr="00243AF9" w:rsidRDefault="00251461" w:rsidP="00251461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>Partenaires et dispositifs</w:t>
            </w:r>
            <w:r w:rsidR="00141401"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mobilisable</w:t>
            </w:r>
            <w:r w:rsidR="0014140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shd w:val="clear" w:color="auto" w:fill="B8CCE4" w:themeFill="accent1" w:themeFillTint="66"/>
          </w:tcPr>
          <w:p w:rsidR="009B23BC" w:rsidRDefault="006C09D1" w:rsidP="09AACA43">
            <w:pPr>
              <w:pStyle w:val="TableContents"/>
              <w:spacing w:before="120" w:after="120" w:line="259" w:lineRule="auto"/>
              <w:ind w:left="720" w:right="-10"/>
            </w:pPr>
            <w:r w:rsidRPr="006C09D1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C</w:t>
            </w:r>
            <w:r w:rsidR="09AACA43"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PAM</w:t>
            </w:r>
          </w:p>
          <w:p w:rsidR="00EB24B8" w:rsidRDefault="09AACA43" w:rsidP="09AACA43">
            <w:pPr>
              <w:pStyle w:val="TableContents"/>
              <w:spacing w:before="120" w:after="120" w:line="259" w:lineRule="auto"/>
              <w:ind w:left="720" w:right="-10"/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ARS du Centre-Val de Loire</w:t>
            </w:r>
          </w:p>
          <w:p w:rsidR="00EB24B8" w:rsidRPr="004F0F76" w:rsidRDefault="09AACA43" w:rsidP="09AACA43">
            <w:pPr>
              <w:pStyle w:val="TableContents"/>
              <w:spacing w:before="120" w:after="120" w:line="259" w:lineRule="auto"/>
              <w:ind w:left="720" w:right="-10"/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MILDECA</w:t>
            </w:r>
          </w:p>
          <w:p w:rsidR="00251461" w:rsidRPr="004F0F76" w:rsidRDefault="09AACA43" w:rsidP="09AACA43">
            <w:pPr>
              <w:pStyle w:val="TableContents"/>
              <w:spacing w:before="120" w:after="120" w:line="259" w:lineRule="auto"/>
              <w:ind w:left="720" w:right="-10"/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Professionnels de santé du territoire</w:t>
            </w:r>
          </w:p>
          <w:p w:rsidR="00506AE9" w:rsidRPr="004F0F76" w:rsidRDefault="09AACA43" w:rsidP="09AACA43">
            <w:pPr>
              <w:pStyle w:val="TableContents"/>
              <w:spacing w:before="120" w:after="120" w:line="259" w:lineRule="auto"/>
              <w:ind w:left="720" w:right="-10"/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Promoteurs en promotion et prévention de la santé</w:t>
            </w:r>
          </w:p>
          <w:p w:rsidR="00506AE9" w:rsidRPr="004F0F76" w:rsidRDefault="09AACA43" w:rsidP="09AACA43">
            <w:pPr>
              <w:pStyle w:val="TableContents"/>
              <w:spacing w:before="120" w:after="120" w:line="259" w:lineRule="auto"/>
              <w:ind w:left="720" w:right="-10"/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Villes</w:t>
            </w:r>
          </w:p>
          <w:p w:rsidR="003B5ECF" w:rsidRPr="00243AF9" w:rsidRDefault="09AACA43" w:rsidP="09AACA43">
            <w:pPr>
              <w:pStyle w:val="TableContents"/>
              <w:spacing w:before="120" w:after="120" w:line="259" w:lineRule="auto"/>
              <w:ind w:left="720" w:right="-10"/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Conseil Départemental</w:t>
            </w:r>
          </w:p>
        </w:tc>
      </w:tr>
      <w:tr w:rsidR="00141401" w:rsidRPr="00243AF9" w:rsidTr="00A3389F">
        <w:tc>
          <w:tcPr>
            <w:tcW w:w="3058" w:type="dxa"/>
            <w:shd w:val="clear" w:color="auto" w:fill="B8CCE4" w:themeFill="accent1" w:themeFillTint="66"/>
          </w:tcPr>
          <w:p w:rsidR="00141401" w:rsidRPr="00243AF9" w:rsidRDefault="09AACA43" w:rsidP="00A3389F">
            <w:pPr>
              <w:pStyle w:val="TableContents"/>
              <w:spacing w:before="120" w:after="120" w:line="259" w:lineRule="auto"/>
              <w:ind w:right="-10"/>
            </w:pPr>
            <w:r w:rsidRPr="09AACA43">
              <w:rPr>
                <w:rFonts w:ascii="Verdana" w:eastAsia="Verdana" w:hAnsi="Verdana" w:cs="Verdana"/>
                <w:b/>
                <w:bCs/>
                <w:color w:val="1F497D" w:themeColor="text2"/>
                <w:sz w:val="20"/>
                <w:szCs w:val="20"/>
              </w:rPr>
              <w:t>Financements mobilisables</w:t>
            </w:r>
          </w:p>
        </w:tc>
        <w:tc>
          <w:tcPr>
            <w:tcW w:w="7796" w:type="dxa"/>
            <w:shd w:val="clear" w:color="auto" w:fill="B8CCE4" w:themeFill="accent1" w:themeFillTint="66"/>
          </w:tcPr>
          <w:p w:rsidR="00141401" w:rsidRDefault="09AACA43" w:rsidP="09AACA43">
            <w:pPr>
              <w:pStyle w:val="TableContents"/>
              <w:spacing w:before="120" w:after="120" w:line="259" w:lineRule="auto"/>
              <w:ind w:left="720" w:right="-10"/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Les aides au démarrage des Maisons de Santé Pluridisciplinaire ainsi que les crédits issus de l'appel à projet </w:t>
            </w:r>
            <w:r w:rsidR="00EF26B2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Prévention/ Promotion de la santé </w:t>
            </w: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de l’ARS</w:t>
            </w:r>
          </w:p>
          <w:p w:rsidR="00EB24B8" w:rsidRPr="00243AF9" w:rsidRDefault="09AACA43" w:rsidP="09AACA43">
            <w:pPr>
              <w:pStyle w:val="TableContents"/>
              <w:spacing w:before="120" w:after="120" w:line="259" w:lineRule="auto"/>
              <w:ind w:left="720" w:right="-10"/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Crédits MILDECA</w:t>
            </w:r>
          </w:p>
        </w:tc>
      </w:tr>
      <w:tr w:rsidR="00827890" w:rsidRPr="00243AF9" w:rsidTr="00A3389F">
        <w:trPr>
          <w:trHeight w:val="272"/>
        </w:trPr>
        <w:tc>
          <w:tcPr>
            <w:tcW w:w="3058" w:type="dxa"/>
            <w:shd w:val="clear" w:color="auto" w:fill="B8CCE4" w:themeFill="accent1" w:themeFillTint="66"/>
          </w:tcPr>
          <w:p w:rsidR="00827890" w:rsidRPr="00243AF9" w:rsidRDefault="00633A2F" w:rsidP="0088450D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7796" w:type="dxa"/>
            <w:shd w:val="clear" w:color="auto" w:fill="B8CCE4" w:themeFill="accent1" w:themeFillTint="66"/>
          </w:tcPr>
          <w:p w:rsidR="00EE7747" w:rsidRPr="00243AF9" w:rsidRDefault="009B5BCD" w:rsidP="009B5BCD">
            <w:pPr>
              <w:pStyle w:val="TableContents"/>
              <w:spacing w:before="120" w:after="120" w:line="259" w:lineRule="auto"/>
              <w:ind w:right="-10"/>
            </w:pPr>
            <w:r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2015-2020</w:t>
            </w:r>
          </w:p>
        </w:tc>
      </w:tr>
      <w:tr w:rsidR="09AACA43" w:rsidTr="00A3389F">
        <w:tc>
          <w:tcPr>
            <w:tcW w:w="3058" w:type="dxa"/>
            <w:shd w:val="clear" w:color="auto" w:fill="B8CCE4" w:themeFill="accent1" w:themeFillTint="66"/>
          </w:tcPr>
          <w:p w:rsidR="09AACA43" w:rsidRDefault="09AACA43" w:rsidP="09AACA43">
            <w:pPr>
              <w:pStyle w:val="TableContents"/>
            </w:pPr>
            <w:r w:rsidRPr="09AACA43">
              <w:rPr>
                <w:rFonts w:ascii="Verdana" w:eastAsia="Verdana" w:hAnsi="Verdana" w:cs="Verdana"/>
                <w:b/>
                <w:bCs/>
                <w:color w:val="1F497D" w:themeColor="text2"/>
                <w:sz w:val="20"/>
                <w:szCs w:val="20"/>
              </w:rPr>
              <w:t>Indicateurs de réalisation</w:t>
            </w:r>
          </w:p>
        </w:tc>
        <w:tc>
          <w:tcPr>
            <w:tcW w:w="7796" w:type="dxa"/>
            <w:shd w:val="clear" w:color="auto" w:fill="B8CCE4" w:themeFill="accent1" w:themeFillTint="66"/>
          </w:tcPr>
          <w:p w:rsidR="09AACA43" w:rsidRDefault="09AACA43" w:rsidP="09AACA43">
            <w:pPr>
              <w:pStyle w:val="Paragraphedeliste"/>
              <w:numPr>
                <w:ilvl w:val="0"/>
                <w:numId w:val="12"/>
              </w:numPr>
              <w:spacing w:before="120" w:after="120"/>
              <w:jc w:val="both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Etat des lieux réalisé</w:t>
            </w:r>
          </w:p>
          <w:p w:rsidR="09AACA43" w:rsidRDefault="09AACA43" w:rsidP="09AACA43">
            <w:pPr>
              <w:pStyle w:val="Paragraphedeliste"/>
              <w:numPr>
                <w:ilvl w:val="0"/>
                <w:numId w:val="12"/>
              </w:numPr>
              <w:spacing w:before="120" w:after="120"/>
              <w:jc w:val="both"/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Nombre de praticiens territoriaux de médecine générale en exercice dans un QPV / Nombre de structures d’exercice regroupé dans les QPV/ Nombre de conventions de coordination entre structures</w:t>
            </w:r>
            <w:r w:rsidR="002D098C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ou facilement accessibles aux QPV</w:t>
            </w:r>
          </w:p>
          <w:p w:rsidR="09AACA43" w:rsidRDefault="09AACA43" w:rsidP="09AACA43">
            <w:pPr>
              <w:pStyle w:val="Paragraphedeliste"/>
              <w:numPr>
                <w:ilvl w:val="0"/>
                <w:numId w:val="12"/>
              </w:numPr>
              <w:spacing w:before="120" w:after="120"/>
              <w:jc w:val="both"/>
              <w:rPr>
                <w:rFonts w:ascii="Verdana,Arial" w:eastAsia="Verdana,Arial" w:hAnsi="Verdana,Arial" w:cs="Verdana,Arial"/>
                <w:color w:val="262626" w:themeColor="text1" w:themeTint="D9"/>
                <w:sz w:val="20"/>
                <w:szCs w:val="20"/>
              </w:rPr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Taux de dépistage des cancers dans les QPV / Nombre d’actions </w:t>
            </w:r>
            <w:proofErr w:type="spellStart"/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co-financées</w:t>
            </w:r>
            <w:proofErr w:type="spellEnd"/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ARS/Collectivités/politique de la Ville</w:t>
            </w:r>
          </w:p>
        </w:tc>
      </w:tr>
      <w:tr w:rsidR="00827890" w:rsidRPr="00243AF9" w:rsidTr="00A3389F">
        <w:tc>
          <w:tcPr>
            <w:tcW w:w="3058" w:type="dxa"/>
            <w:shd w:val="clear" w:color="auto" w:fill="B8CCE4" w:themeFill="accent1" w:themeFillTint="66"/>
          </w:tcPr>
          <w:p w:rsidR="00633A2F" w:rsidRPr="00243AF9" w:rsidRDefault="09AACA43" w:rsidP="09AACA43">
            <w:pPr>
              <w:pStyle w:val="TableContents"/>
              <w:spacing w:before="120" w:after="120" w:line="259" w:lineRule="auto"/>
              <w:ind w:left="71" w:right="-10"/>
            </w:pPr>
            <w:r w:rsidRPr="09AACA43">
              <w:rPr>
                <w:rFonts w:ascii="Verdana" w:eastAsia="Verdana" w:hAnsi="Verdana" w:cs="Verdana"/>
                <w:b/>
                <w:bCs/>
                <w:color w:val="1F497D" w:themeColor="text2"/>
                <w:sz w:val="20"/>
                <w:szCs w:val="20"/>
              </w:rPr>
              <w:t>Indicateurs d’effets</w:t>
            </w:r>
          </w:p>
        </w:tc>
        <w:tc>
          <w:tcPr>
            <w:tcW w:w="7796" w:type="dxa"/>
            <w:shd w:val="clear" w:color="auto" w:fill="B8CCE4" w:themeFill="accent1" w:themeFillTint="66"/>
          </w:tcPr>
          <w:p w:rsidR="00B16BC2" w:rsidRPr="00B16BC2" w:rsidRDefault="00B16BC2" w:rsidP="00A3389F">
            <w:pPr>
              <w:spacing w:before="120" w:after="120"/>
              <w:jc w:val="both"/>
              <w:rPr>
                <w:rFonts w:ascii="Verdana" w:hAnsi="Verdana" w:cs="Arial"/>
                <w:color w:val="262626" w:themeColor="text1" w:themeTint="D9"/>
                <w:sz w:val="20"/>
                <w:szCs w:val="20"/>
              </w:rPr>
            </w:pPr>
          </w:p>
        </w:tc>
      </w:tr>
      <w:tr w:rsidR="00A60403" w:rsidRPr="00243AF9" w:rsidTr="00A3389F">
        <w:tc>
          <w:tcPr>
            <w:tcW w:w="3058" w:type="dxa"/>
            <w:shd w:val="clear" w:color="auto" w:fill="B8CCE4" w:themeFill="accent1" w:themeFillTint="66"/>
          </w:tcPr>
          <w:p w:rsidR="00A60403" w:rsidRPr="00243AF9" w:rsidRDefault="00A60403" w:rsidP="0088450D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</w:t>
            </w:r>
            <w:r w:rsidR="0025146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enjeux /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fiches « orientations opérationnelles »</w:t>
            </w:r>
          </w:p>
        </w:tc>
        <w:tc>
          <w:tcPr>
            <w:tcW w:w="7796" w:type="dxa"/>
            <w:shd w:val="clear" w:color="auto" w:fill="B8CCE4" w:themeFill="accent1" w:themeFillTint="66"/>
          </w:tcPr>
          <w:p w:rsidR="00A60403" w:rsidRPr="004F0F76" w:rsidRDefault="002D098C" w:rsidP="09AACA43">
            <w:pPr>
              <w:spacing w:line="259" w:lineRule="auto"/>
              <w:jc w:val="both"/>
            </w:pPr>
            <w:r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Lie</w:t>
            </w:r>
            <w:r w:rsidR="09AACA43"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n avec les autres thématiques du pilier « cohésion sociale » (parentalité, éducation, cohésion sociale, etc.…)</w:t>
            </w:r>
          </w:p>
          <w:p w:rsidR="00C81142" w:rsidRDefault="09AACA43" w:rsidP="00023C45">
            <w:pPr>
              <w:spacing w:line="259" w:lineRule="auto"/>
              <w:jc w:val="both"/>
            </w:pP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Cette fiche sera très fortement influencée par l’avancée des travaux de la fiche 1.3.2, notamment </w:t>
            </w:r>
            <w:r w:rsidR="00023C45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par le projet </w:t>
            </w:r>
            <w:r w:rsidR="00023C45"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de Conseil Local en Santé mentale (CLSM)</w:t>
            </w:r>
            <w:r w:rsidR="00023C45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ou </w:t>
            </w: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si </w:t>
            </w:r>
            <w:r w:rsidR="00023C45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la métropole et</w:t>
            </w:r>
            <w:r w:rsidRPr="09AACA43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 xml:space="preserve"> plusieurs collectivités s’engagent dans une démarche de Contrat Local de Santé (CLS)</w:t>
            </w:r>
            <w:r w:rsidR="00023C45">
              <w:rPr>
                <w:rFonts w:ascii="Verdana" w:eastAsia="Verdana" w:hAnsi="Verdana" w:cs="Verdana"/>
                <w:color w:val="1F497D" w:themeColor="text2"/>
                <w:sz w:val="20"/>
                <w:szCs w:val="20"/>
              </w:rPr>
              <w:t>.</w:t>
            </w:r>
          </w:p>
        </w:tc>
      </w:tr>
    </w:tbl>
    <w:p w:rsidR="00827890" w:rsidRPr="00827890" w:rsidRDefault="00024C9C" w:rsidP="004206A3">
      <w:pPr>
        <w:pStyle w:val="WW-Standard"/>
        <w:shd w:val="clear" w:color="auto" w:fill="1F497D"/>
        <w:spacing w:after="57"/>
      </w:pPr>
      <w:r>
        <w:rPr>
          <w:noProof/>
          <w:lang w:eastAsia="fr-FR" w:bidi="ar-SA"/>
        </w:rPr>
        <w:pict>
          <v:rect id="Rectangle 2" o:spid="_x0000_s1026" style="position:absolute;margin-left:-15.6pt;margin-top:.35pt;width:569.2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" stroked="f"/>
        </w:pict>
      </w:r>
    </w:p>
    <w:sectPr w:rsidR="00827890" w:rsidRPr="00827890" w:rsidSect="00A433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454" w:right="567" w:bottom="737" w:left="567" w:header="567" w:footer="567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E8A1C1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D8B" w:rsidRDefault="00BA3D8B" w:rsidP="00A03715">
      <w:pPr>
        <w:pStyle w:val="TableContents"/>
      </w:pPr>
      <w:r>
        <w:separator/>
      </w:r>
    </w:p>
  </w:endnote>
  <w:endnote w:type="continuationSeparator" w:id="0">
    <w:p w:rsidR="00BA3D8B" w:rsidRDefault="00BA3D8B" w:rsidP="00A03715">
      <w:pPr>
        <w:pStyle w:val="TableContents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924" w:rsidRDefault="00FE792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3BC" w:rsidRDefault="009B23BC" w:rsidP="00973B15">
    <w:pPr>
      <w:pStyle w:val="Pieddepage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  <w:r w:rsidR="00E96B32">
      <w:rPr>
        <w:rFonts w:ascii="Verdana" w:hAnsi="Verdana" w:cs="Verdana"/>
        <w:sz w:val="16"/>
        <w:szCs w:val="16"/>
      </w:rPr>
      <w:t xml:space="preserve"> - </w:t>
    </w:r>
    <w:r>
      <w:rPr>
        <w:rFonts w:ascii="Verdana" w:hAnsi="Verdana" w:cs="Verdana"/>
        <w:sz w:val="16"/>
        <w:szCs w:val="16"/>
      </w:rPr>
      <w:t xml:space="preserve">Fiche </w:t>
    </w:r>
    <w:r w:rsidR="00DA7D25">
      <w:rPr>
        <w:rFonts w:ascii="Verdana" w:hAnsi="Verdana" w:cs="Verdana"/>
        <w:sz w:val="16"/>
        <w:szCs w:val="16"/>
      </w:rPr>
      <w:t xml:space="preserve">orientation </w:t>
    </w:r>
    <w:r w:rsidR="008573DC">
      <w:rPr>
        <w:rFonts w:ascii="Verdana" w:hAnsi="Verdana" w:cs="Verdana"/>
        <w:sz w:val="16"/>
        <w:szCs w:val="16"/>
      </w:rPr>
      <w:t>opérationnelle</w:t>
    </w:r>
    <w:r>
      <w:rPr>
        <w:rFonts w:ascii="Verdana" w:hAnsi="Verdana" w:cs="Verdana"/>
        <w:sz w:val="16"/>
        <w:szCs w:val="16"/>
      </w:rPr>
      <w:t xml:space="preserve"> </w:t>
    </w:r>
  </w:p>
  <w:p w:rsidR="00E96B32" w:rsidRDefault="00FE7924" w:rsidP="00973B15">
    <w:pPr>
      <w:pStyle w:val="Pieddepage"/>
      <w:widowControl/>
      <w:jc w:val="right"/>
    </w:pPr>
    <w:r>
      <w:rPr>
        <w:rFonts w:ascii="Verdana" w:hAnsi="Verdana" w:cs="Verdana"/>
        <w:sz w:val="16"/>
        <w:szCs w:val="16"/>
      </w:rPr>
      <w:t>Date de mise à jour </w:t>
    </w:r>
    <w:r w:rsidR="00E96B32">
      <w:rPr>
        <w:rFonts w:ascii="Verdana" w:hAnsi="Verdana" w:cs="Verdana"/>
        <w:sz w:val="16"/>
        <w:szCs w:val="16"/>
      </w:rPr>
      <w:t>: 15 novembre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924" w:rsidRDefault="00FE792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D8B" w:rsidRDefault="00BA3D8B" w:rsidP="00A03715">
      <w:pPr>
        <w:pStyle w:val="TableContents"/>
      </w:pPr>
      <w:r>
        <w:separator/>
      </w:r>
    </w:p>
  </w:footnote>
  <w:footnote w:type="continuationSeparator" w:id="0">
    <w:p w:rsidR="00BA3D8B" w:rsidRDefault="00BA3D8B" w:rsidP="00A03715">
      <w:pPr>
        <w:pStyle w:val="TableContents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924" w:rsidRDefault="00FE792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924" w:rsidRDefault="00FE7924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924" w:rsidRDefault="00FE792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770AE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0BE1798C"/>
    <w:multiLevelType w:val="hybridMultilevel"/>
    <w:tmpl w:val="D37CE194"/>
    <w:lvl w:ilvl="0" w:tplc="AF98C5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42C0A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2812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3414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1AB0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72C2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CA29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0052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4B1637"/>
    <w:multiLevelType w:val="hybridMultilevel"/>
    <w:tmpl w:val="AF0E17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285FE0"/>
    <w:multiLevelType w:val="hybridMultilevel"/>
    <w:tmpl w:val="8ADEDD1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F2CAB"/>
    <w:multiLevelType w:val="hybridMultilevel"/>
    <w:tmpl w:val="98BE55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32785"/>
    <w:multiLevelType w:val="hybridMultilevel"/>
    <w:tmpl w:val="836AD78A"/>
    <w:lvl w:ilvl="0" w:tplc="5A92E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DCA0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D817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FAD8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4C60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584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9027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9060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F6B3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C69B7"/>
    <w:multiLevelType w:val="hybridMultilevel"/>
    <w:tmpl w:val="D3503996"/>
    <w:lvl w:ilvl="0" w:tplc="AF98C54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656C50"/>
    <w:multiLevelType w:val="hybridMultilevel"/>
    <w:tmpl w:val="F6A489CA"/>
    <w:lvl w:ilvl="0" w:tplc="6DD4E432">
      <w:start w:val="1"/>
      <w:numFmt w:val="decimal"/>
      <w:lvlText w:val="%1."/>
      <w:lvlJc w:val="left"/>
      <w:pPr>
        <w:ind w:left="720" w:hanging="360"/>
      </w:pPr>
    </w:lvl>
    <w:lvl w:ilvl="1" w:tplc="DF4C28F2">
      <w:start w:val="1"/>
      <w:numFmt w:val="decimal"/>
      <w:lvlText w:val="%2."/>
      <w:lvlJc w:val="left"/>
      <w:pPr>
        <w:ind w:left="1440" w:hanging="360"/>
      </w:pPr>
    </w:lvl>
    <w:lvl w:ilvl="2" w:tplc="31A05774">
      <w:start w:val="1"/>
      <w:numFmt w:val="lowerRoman"/>
      <w:lvlText w:val="%3."/>
      <w:lvlJc w:val="right"/>
      <w:pPr>
        <w:ind w:left="2160" w:hanging="180"/>
      </w:pPr>
    </w:lvl>
    <w:lvl w:ilvl="3" w:tplc="88FC8B00">
      <w:start w:val="1"/>
      <w:numFmt w:val="decimal"/>
      <w:lvlText w:val="%4."/>
      <w:lvlJc w:val="left"/>
      <w:pPr>
        <w:ind w:left="2880" w:hanging="360"/>
      </w:pPr>
    </w:lvl>
    <w:lvl w:ilvl="4" w:tplc="1F4628E0">
      <w:start w:val="1"/>
      <w:numFmt w:val="lowerLetter"/>
      <w:lvlText w:val="%5."/>
      <w:lvlJc w:val="left"/>
      <w:pPr>
        <w:ind w:left="3600" w:hanging="360"/>
      </w:pPr>
    </w:lvl>
    <w:lvl w:ilvl="5" w:tplc="724C6E66">
      <w:start w:val="1"/>
      <w:numFmt w:val="lowerRoman"/>
      <w:lvlText w:val="%6."/>
      <w:lvlJc w:val="right"/>
      <w:pPr>
        <w:ind w:left="4320" w:hanging="180"/>
      </w:pPr>
    </w:lvl>
    <w:lvl w:ilvl="6" w:tplc="97CE5116">
      <w:start w:val="1"/>
      <w:numFmt w:val="decimal"/>
      <w:lvlText w:val="%7."/>
      <w:lvlJc w:val="left"/>
      <w:pPr>
        <w:ind w:left="5040" w:hanging="360"/>
      </w:pPr>
    </w:lvl>
    <w:lvl w:ilvl="7" w:tplc="0CE04EE8">
      <w:start w:val="1"/>
      <w:numFmt w:val="lowerLetter"/>
      <w:lvlText w:val="%8."/>
      <w:lvlJc w:val="left"/>
      <w:pPr>
        <w:ind w:left="5760" w:hanging="360"/>
      </w:pPr>
    </w:lvl>
    <w:lvl w:ilvl="8" w:tplc="819CB2DE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7A1F35"/>
    <w:multiLevelType w:val="hybridMultilevel"/>
    <w:tmpl w:val="F0A68F52"/>
    <w:lvl w:ilvl="0" w:tplc="0BF622A2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FA0382"/>
    <w:multiLevelType w:val="hybridMultilevel"/>
    <w:tmpl w:val="13B8F0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2"/>
  </w:num>
  <w:num w:numId="5">
    <w:abstractNumId w:val="3"/>
  </w:num>
  <w:num w:numId="6">
    <w:abstractNumId w:val="11"/>
  </w:num>
  <w:num w:numId="7">
    <w:abstractNumId w:val="0"/>
  </w:num>
  <w:num w:numId="8">
    <w:abstractNumId w:val="4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4"/>
  </w:num>
  <w:num w:numId="14">
    <w:abstractNumId w:val="9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Clara MOUSSAUD">
    <w15:presenceInfo w15:providerId="AD" w15:userId="10037FFE90603141@LIVE.COM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gutterAtTop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6A5"/>
    <w:rsid w:val="00002BE3"/>
    <w:rsid w:val="00023C45"/>
    <w:rsid w:val="00024C9C"/>
    <w:rsid w:val="00031B19"/>
    <w:rsid w:val="000966A5"/>
    <w:rsid w:val="000E0503"/>
    <w:rsid w:val="000F355B"/>
    <w:rsid w:val="00141401"/>
    <w:rsid w:val="00186832"/>
    <w:rsid w:val="001C466A"/>
    <w:rsid w:val="001C71E5"/>
    <w:rsid w:val="00243AF9"/>
    <w:rsid w:val="00251461"/>
    <w:rsid w:val="00296618"/>
    <w:rsid w:val="002A5B58"/>
    <w:rsid w:val="002D098C"/>
    <w:rsid w:val="00332D5A"/>
    <w:rsid w:val="00337717"/>
    <w:rsid w:val="003744CB"/>
    <w:rsid w:val="00376CE1"/>
    <w:rsid w:val="003966A6"/>
    <w:rsid w:val="003B5ECF"/>
    <w:rsid w:val="00401DD3"/>
    <w:rsid w:val="004206A3"/>
    <w:rsid w:val="00450628"/>
    <w:rsid w:val="00450F2B"/>
    <w:rsid w:val="0049787A"/>
    <w:rsid w:val="004C1E42"/>
    <w:rsid w:val="004E59AB"/>
    <w:rsid w:val="004F0541"/>
    <w:rsid w:val="004F0F76"/>
    <w:rsid w:val="00506AE9"/>
    <w:rsid w:val="00543505"/>
    <w:rsid w:val="00564CE8"/>
    <w:rsid w:val="005B01C0"/>
    <w:rsid w:val="005D663C"/>
    <w:rsid w:val="00626CBC"/>
    <w:rsid w:val="00633A2F"/>
    <w:rsid w:val="006A3BC2"/>
    <w:rsid w:val="006C09D1"/>
    <w:rsid w:val="006C57BB"/>
    <w:rsid w:val="006F3473"/>
    <w:rsid w:val="0074359D"/>
    <w:rsid w:val="007A7B97"/>
    <w:rsid w:val="007B7D1F"/>
    <w:rsid w:val="007D246C"/>
    <w:rsid w:val="007E774C"/>
    <w:rsid w:val="007F2D12"/>
    <w:rsid w:val="007F401A"/>
    <w:rsid w:val="007F4DC5"/>
    <w:rsid w:val="00827890"/>
    <w:rsid w:val="00841AF9"/>
    <w:rsid w:val="008573DC"/>
    <w:rsid w:val="00857C0A"/>
    <w:rsid w:val="0088450D"/>
    <w:rsid w:val="008B69D8"/>
    <w:rsid w:val="00907CFB"/>
    <w:rsid w:val="0093012E"/>
    <w:rsid w:val="00934D6C"/>
    <w:rsid w:val="00952452"/>
    <w:rsid w:val="00973B15"/>
    <w:rsid w:val="009B23BC"/>
    <w:rsid w:val="009B5BCD"/>
    <w:rsid w:val="009C075F"/>
    <w:rsid w:val="00A03715"/>
    <w:rsid w:val="00A230D1"/>
    <w:rsid w:val="00A3389F"/>
    <w:rsid w:val="00A34D8D"/>
    <w:rsid w:val="00A433C2"/>
    <w:rsid w:val="00A60403"/>
    <w:rsid w:val="00A77021"/>
    <w:rsid w:val="00B16BC2"/>
    <w:rsid w:val="00B327DC"/>
    <w:rsid w:val="00BA3D8B"/>
    <w:rsid w:val="00BB11F7"/>
    <w:rsid w:val="00BE52CF"/>
    <w:rsid w:val="00BF4008"/>
    <w:rsid w:val="00C27FAA"/>
    <w:rsid w:val="00C738F5"/>
    <w:rsid w:val="00C81142"/>
    <w:rsid w:val="00C839E2"/>
    <w:rsid w:val="00CC0218"/>
    <w:rsid w:val="00CE6D8B"/>
    <w:rsid w:val="00D86573"/>
    <w:rsid w:val="00DA6B8B"/>
    <w:rsid w:val="00DA7D25"/>
    <w:rsid w:val="00DB0BE4"/>
    <w:rsid w:val="00DC0102"/>
    <w:rsid w:val="00E96B32"/>
    <w:rsid w:val="00EB24B8"/>
    <w:rsid w:val="00ED1BD2"/>
    <w:rsid w:val="00ED7F39"/>
    <w:rsid w:val="00EE7747"/>
    <w:rsid w:val="00EF26B2"/>
    <w:rsid w:val="00F04DC2"/>
    <w:rsid w:val="00F275A3"/>
    <w:rsid w:val="00FD32E7"/>
    <w:rsid w:val="00FE11B7"/>
    <w:rsid w:val="00FE7924"/>
    <w:rsid w:val="09AACA43"/>
    <w:rsid w:val="617475C1"/>
    <w:rsid w:val="63714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6D8B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rsid w:val="00CE6D8B"/>
    <w:pPr>
      <w:numPr>
        <w:numId w:val="3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rsid w:val="00CE6D8B"/>
    <w:pPr>
      <w:numPr>
        <w:ilvl w:val="1"/>
        <w:numId w:val="3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rsid w:val="00CE6D8B"/>
    <w:pPr>
      <w:numPr>
        <w:ilvl w:val="2"/>
        <w:numId w:val="3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CE6D8B"/>
    <w:rPr>
      <w:rFonts w:ascii="Symbol" w:eastAsia="Times New Roman" w:hAnsi="Symbol" w:cs="Verdana"/>
    </w:rPr>
  </w:style>
  <w:style w:type="character" w:customStyle="1" w:styleId="WW8Num1z1">
    <w:name w:val="WW8Num1z1"/>
    <w:rsid w:val="00CE6D8B"/>
    <w:rPr>
      <w:rFonts w:ascii="OpenSymbol" w:hAnsi="OpenSymbol" w:cs="Courier New"/>
    </w:rPr>
  </w:style>
  <w:style w:type="character" w:customStyle="1" w:styleId="WW8Num2z0">
    <w:name w:val="WW8Num2z0"/>
    <w:rsid w:val="00CE6D8B"/>
    <w:rPr>
      <w:rFonts w:ascii="Verdana" w:eastAsia="SimSun" w:hAnsi="Verdana" w:cs="Mangal"/>
    </w:rPr>
  </w:style>
  <w:style w:type="character" w:customStyle="1" w:styleId="WW8Num2z1">
    <w:name w:val="WW8Num2z1"/>
    <w:rsid w:val="00CE6D8B"/>
    <w:rPr>
      <w:rFonts w:ascii="Courier New" w:hAnsi="Courier New" w:cs="Courier New"/>
    </w:rPr>
  </w:style>
  <w:style w:type="character" w:customStyle="1" w:styleId="WW8Num2z2">
    <w:name w:val="WW8Num2z2"/>
    <w:rsid w:val="00CE6D8B"/>
    <w:rPr>
      <w:rFonts w:ascii="Wingdings" w:hAnsi="Wingdings" w:cs="Wingdings"/>
    </w:rPr>
  </w:style>
  <w:style w:type="character" w:customStyle="1" w:styleId="WW8Num2z3">
    <w:name w:val="WW8Num2z3"/>
    <w:rsid w:val="00CE6D8B"/>
    <w:rPr>
      <w:rFonts w:ascii="Symbol" w:hAnsi="Symbol" w:cs="Symbol"/>
    </w:rPr>
  </w:style>
  <w:style w:type="character" w:customStyle="1" w:styleId="WW8Num4z0">
    <w:name w:val="WW8Num4z0"/>
    <w:rsid w:val="00CE6D8B"/>
    <w:rPr>
      <w:rFonts w:ascii="Verdana" w:eastAsia="Times New Roman" w:hAnsi="Verdana" w:cs="Verdana"/>
    </w:rPr>
  </w:style>
  <w:style w:type="character" w:customStyle="1" w:styleId="WW8Num4z1">
    <w:name w:val="WW8Num4z1"/>
    <w:rsid w:val="00CE6D8B"/>
    <w:rPr>
      <w:rFonts w:ascii="Courier New" w:hAnsi="Courier New" w:cs="Courier New"/>
    </w:rPr>
  </w:style>
  <w:style w:type="character" w:customStyle="1" w:styleId="WW8Num4z2">
    <w:name w:val="WW8Num4z2"/>
    <w:rsid w:val="00CE6D8B"/>
    <w:rPr>
      <w:rFonts w:ascii="Wingdings" w:hAnsi="Wingdings" w:cs="Wingdings"/>
    </w:rPr>
  </w:style>
  <w:style w:type="character" w:customStyle="1" w:styleId="WW8Num4z3">
    <w:name w:val="WW8Num4z3"/>
    <w:rsid w:val="00CE6D8B"/>
    <w:rPr>
      <w:rFonts w:ascii="Symbol" w:hAnsi="Symbol" w:cs="Symbol"/>
    </w:rPr>
  </w:style>
  <w:style w:type="character" w:customStyle="1" w:styleId="WW8Num5z0">
    <w:name w:val="WW8Num5z0"/>
    <w:rsid w:val="00CE6D8B"/>
    <w:rPr>
      <w:rFonts w:ascii="Symbol" w:hAnsi="Symbol" w:cs="OpenSymbol"/>
    </w:rPr>
  </w:style>
  <w:style w:type="character" w:customStyle="1" w:styleId="WW8Num5z1">
    <w:name w:val="WW8Num5z1"/>
    <w:rsid w:val="00CE6D8B"/>
    <w:rPr>
      <w:rFonts w:ascii="OpenSymbol" w:hAnsi="OpenSymbol" w:cs="OpenSymbol"/>
    </w:rPr>
  </w:style>
  <w:style w:type="character" w:customStyle="1" w:styleId="WW8Num5z2">
    <w:name w:val="WW8Num5z2"/>
    <w:rsid w:val="00CE6D8B"/>
    <w:rPr>
      <w:rFonts w:ascii="Wingdings" w:hAnsi="Wingdings" w:cs="Wingdings"/>
    </w:rPr>
  </w:style>
  <w:style w:type="character" w:customStyle="1" w:styleId="WW8Num5z3">
    <w:name w:val="WW8Num5z3"/>
    <w:rsid w:val="00CE6D8B"/>
    <w:rPr>
      <w:rFonts w:ascii="Symbol" w:hAnsi="Symbol" w:cs="Symbol"/>
    </w:rPr>
  </w:style>
  <w:style w:type="character" w:customStyle="1" w:styleId="WW8Num6z0">
    <w:name w:val="WW8Num6z0"/>
    <w:rsid w:val="00CE6D8B"/>
    <w:rPr>
      <w:rFonts w:ascii="Symbol" w:hAnsi="Symbol" w:cs="OpenSymbol"/>
    </w:rPr>
  </w:style>
  <w:style w:type="character" w:customStyle="1" w:styleId="WW8Num6z1">
    <w:name w:val="WW8Num6z1"/>
    <w:rsid w:val="00CE6D8B"/>
    <w:rPr>
      <w:rFonts w:ascii="OpenSymbol" w:hAnsi="OpenSymbol" w:cs="OpenSymbol"/>
    </w:rPr>
  </w:style>
  <w:style w:type="character" w:customStyle="1" w:styleId="Policepardfaut1">
    <w:name w:val="Police par défaut1"/>
    <w:rsid w:val="00CE6D8B"/>
  </w:style>
  <w:style w:type="character" w:customStyle="1" w:styleId="NumberingSymbols">
    <w:name w:val="Numbering Symbols"/>
    <w:rsid w:val="00CE6D8B"/>
    <w:rPr>
      <w:b/>
      <w:bCs/>
    </w:rPr>
  </w:style>
  <w:style w:type="character" w:customStyle="1" w:styleId="BulletSymbols">
    <w:name w:val="Bullet Symbols"/>
    <w:rsid w:val="00CE6D8B"/>
    <w:rPr>
      <w:rFonts w:ascii="OpenSymbol" w:eastAsia="OpenSymbol" w:hAnsi="OpenSymbol" w:cs="OpenSymbol"/>
    </w:rPr>
  </w:style>
  <w:style w:type="character" w:customStyle="1" w:styleId="En-tteCar">
    <w:name w:val="En-tête Car"/>
    <w:rsid w:val="00CE6D8B"/>
    <w:rPr>
      <w:szCs w:val="21"/>
    </w:rPr>
  </w:style>
  <w:style w:type="character" w:styleId="Numrodepage">
    <w:name w:val="page number"/>
    <w:basedOn w:val="Policepardfaut1"/>
    <w:rsid w:val="00CE6D8B"/>
  </w:style>
  <w:style w:type="character" w:customStyle="1" w:styleId="Puces">
    <w:name w:val="Puces"/>
    <w:rsid w:val="00CE6D8B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CE6D8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rsid w:val="00CE6D8B"/>
    <w:pPr>
      <w:spacing w:after="120"/>
    </w:pPr>
  </w:style>
  <w:style w:type="paragraph" w:styleId="Liste">
    <w:name w:val="List"/>
    <w:basedOn w:val="Textbody"/>
    <w:rsid w:val="00CE6D8B"/>
  </w:style>
  <w:style w:type="paragraph" w:styleId="Lgende">
    <w:name w:val="caption"/>
    <w:basedOn w:val="WW-Standard"/>
    <w:qFormat/>
    <w:rsid w:val="00CE6D8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rsid w:val="00CE6D8B"/>
    <w:pPr>
      <w:suppressLineNumbers/>
    </w:pPr>
  </w:style>
  <w:style w:type="paragraph" w:customStyle="1" w:styleId="WW-Standard">
    <w:name w:val="WW-Standard"/>
    <w:rsid w:val="00CE6D8B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rsid w:val="00CE6D8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CE6D8B"/>
    <w:pPr>
      <w:spacing w:after="120"/>
    </w:pPr>
  </w:style>
  <w:style w:type="paragraph" w:styleId="Pieddepage">
    <w:name w:val="footer"/>
    <w:basedOn w:val="WW-Standard"/>
    <w:rsid w:val="00CE6D8B"/>
    <w:pPr>
      <w:suppressLineNumbers/>
    </w:pPr>
  </w:style>
  <w:style w:type="paragraph" w:customStyle="1" w:styleId="TableContents">
    <w:name w:val="Table Contents"/>
    <w:basedOn w:val="WW-Standard"/>
    <w:rsid w:val="00CE6D8B"/>
    <w:pPr>
      <w:suppressLineNumbers/>
    </w:pPr>
  </w:style>
  <w:style w:type="paragraph" w:styleId="En-tte">
    <w:name w:val="header"/>
    <w:basedOn w:val="Normal"/>
    <w:rsid w:val="00CE6D8B"/>
    <w:rPr>
      <w:szCs w:val="21"/>
    </w:rPr>
  </w:style>
  <w:style w:type="paragraph" w:customStyle="1" w:styleId="Contenudetableau">
    <w:name w:val="Contenu de tableau"/>
    <w:basedOn w:val="Normal"/>
    <w:rsid w:val="00CE6D8B"/>
    <w:pPr>
      <w:suppressLineNumbers/>
    </w:pPr>
  </w:style>
  <w:style w:type="paragraph" w:customStyle="1" w:styleId="Titredetableau">
    <w:name w:val="Titre de tableau"/>
    <w:basedOn w:val="Contenudetableau"/>
    <w:rsid w:val="00CE6D8B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Paragraphedeliste">
    <w:name w:val="List Paragraph"/>
    <w:basedOn w:val="Normal"/>
    <w:uiPriority w:val="72"/>
    <w:rsid w:val="00907CFB"/>
    <w:pPr>
      <w:ind w:left="720"/>
      <w:contextualSpacing/>
    </w:pPr>
    <w:rPr>
      <w:szCs w:val="21"/>
    </w:rPr>
  </w:style>
  <w:style w:type="paragraph" w:styleId="Textedebulles">
    <w:name w:val="Balloon Text"/>
    <w:basedOn w:val="Normal"/>
    <w:link w:val="TextedebullesCar"/>
    <w:rsid w:val="00D86573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D86573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Marquedecommentaire">
    <w:name w:val="annotation reference"/>
    <w:basedOn w:val="Policepardfaut"/>
    <w:rsid w:val="00D86573"/>
    <w:rPr>
      <w:sz w:val="16"/>
      <w:szCs w:val="16"/>
    </w:rPr>
  </w:style>
  <w:style w:type="paragraph" w:styleId="Commentaire">
    <w:name w:val="annotation text"/>
    <w:basedOn w:val="Normal"/>
    <w:link w:val="CommentaireCar"/>
    <w:rsid w:val="00D8657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sid w:val="00D86573"/>
    <w:rPr>
      <w:rFonts w:eastAsia="SimSun" w:cs="Mangal"/>
      <w:kern w:val="1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rsid w:val="00D8657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D86573"/>
    <w:rPr>
      <w:rFonts w:eastAsia="SimSun" w:cs="Mangal"/>
      <w:b/>
      <w:bCs/>
      <w:kern w:val="1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3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3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3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Paragraphedeliste">
    <w:name w:val="List Paragraph"/>
    <w:basedOn w:val="Normal"/>
    <w:uiPriority w:val="72"/>
    <w:rsid w:val="00907CFB"/>
    <w:pPr>
      <w:ind w:left="720"/>
      <w:contextualSpacing/>
    </w:pPr>
    <w:rPr>
      <w:szCs w:val="21"/>
    </w:rPr>
  </w:style>
  <w:style w:type="paragraph" w:styleId="Textedebulles">
    <w:name w:val="Balloon Text"/>
    <w:basedOn w:val="Normal"/>
    <w:link w:val="TextedebullesCar"/>
    <w:rsid w:val="00D86573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D86573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Marquedecommentaire">
    <w:name w:val="annotation reference"/>
    <w:basedOn w:val="Policepardfaut"/>
    <w:rsid w:val="00D86573"/>
    <w:rPr>
      <w:sz w:val="16"/>
      <w:szCs w:val="16"/>
    </w:rPr>
  </w:style>
  <w:style w:type="paragraph" w:styleId="Commentaire">
    <w:name w:val="annotation text"/>
    <w:basedOn w:val="Normal"/>
    <w:link w:val="CommentaireCar"/>
    <w:rsid w:val="00D8657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sid w:val="00D86573"/>
    <w:rPr>
      <w:rFonts w:eastAsia="SimSun" w:cs="Mangal"/>
      <w:kern w:val="1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rsid w:val="00D8657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D86573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8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bf88bda95d1e4519" Type="http://schemas.microsoft.com/office/2011/relationships/commentsExtended" Target="commentsExtended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af66629b5ecd4813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D5F1315472C449DC7F3D5453E08EE" ma:contentTypeVersion="2" ma:contentTypeDescription="Crée un document." ma:contentTypeScope="" ma:versionID="83ca13e1ae11e557d610dfa47c2ac8a8">
  <xsd:schema xmlns:xsd="http://www.w3.org/2001/XMLSchema" xmlns:xs="http://www.w3.org/2001/XMLSchema" xmlns:p="http://schemas.microsoft.com/office/2006/metadata/properties" xmlns:ns2="c9f4b70c-db7f-4fd0-9b1d-ebaa300a76cc" targetNamespace="http://schemas.microsoft.com/office/2006/metadata/properties" ma:root="true" ma:fieldsID="7b2878665820b16b41fa788e0d90a871" ns2:_="">
    <xsd:import namespace="c9f4b70c-db7f-4fd0-9b1d-ebaa300a76c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b70c-db7f-4fd0-9b1d-ebaa300a76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EA04B5-D135-4F99-AA25-6C176B2E2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4b70c-db7f-4fd0-9b1d-ebaa300a7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829E75-89DC-466E-A42B-D0D97CA98B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77EA80-0C04-47B4-BAFC-574B8289F5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534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Ministère de la Santé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R.V. (DDCS) </cp:lastModifiedBy>
  <cp:revision>6</cp:revision>
  <cp:lastPrinted>2015-07-16T10:22:00Z</cp:lastPrinted>
  <dcterms:created xsi:type="dcterms:W3CDTF">2017-10-04T09:33:00Z</dcterms:created>
  <dcterms:modified xsi:type="dcterms:W3CDTF">2017-11-07T15:08:00Z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0x010100FE4D5F1315472C449DC7F3D5453E08EE</vt:lpwstr>
  </property>
</Properties>
</file>