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401" w:rsidRPr="008D57C0" w:rsidRDefault="00806B91" w:rsidP="00827890">
      <w:pPr>
        <w:pStyle w:val="WW-Standard"/>
        <w:spacing w:after="57"/>
        <w:jc w:val="center"/>
        <w:rPr>
          <w:rFonts w:ascii="Verdana" w:hAnsi="Verdana" w:cs="Verdana"/>
          <w:b/>
          <w:bCs/>
          <w:color w:val="17365D" w:themeColor="text2" w:themeShade="BF"/>
          <w:sz w:val="28"/>
          <w:szCs w:val="28"/>
        </w:rPr>
      </w:pPr>
      <w:r>
        <w:rPr>
          <w:rFonts w:ascii="Verdana" w:hAnsi="Verdana" w:cs="Verdana"/>
          <w:b/>
          <w:bCs/>
          <w:color w:val="17365D" w:themeColor="text2" w:themeShade="BF"/>
          <w:sz w:val="28"/>
          <w:szCs w:val="28"/>
        </w:rPr>
        <w:t xml:space="preserve">FICHE </w:t>
      </w:r>
      <w:r w:rsidR="00440B37">
        <w:rPr>
          <w:rFonts w:ascii="Verdana" w:hAnsi="Verdana" w:cs="Verdana"/>
          <w:b/>
          <w:bCs/>
          <w:color w:val="17365D" w:themeColor="text2" w:themeShade="BF"/>
          <w:sz w:val="28"/>
          <w:szCs w:val="28"/>
        </w:rPr>
        <w:t>3.1.</w:t>
      </w:r>
      <w:r w:rsidR="00036422">
        <w:rPr>
          <w:rFonts w:ascii="Verdana" w:hAnsi="Verdana" w:cs="Verdana"/>
          <w:b/>
          <w:bCs/>
          <w:color w:val="17365D" w:themeColor="text2" w:themeShade="BF"/>
          <w:sz w:val="28"/>
          <w:szCs w:val="28"/>
        </w:rPr>
        <w:t>1</w:t>
      </w:r>
      <w:r w:rsidR="00DD597C">
        <w:rPr>
          <w:rFonts w:ascii="Verdana" w:hAnsi="Verdana" w:cs="Verdana"/>
          <w:b/>
          <w:bCs/>
          <w:color w:val="17365D" w:themeColor="text2" w:themeShade="BF"/>
          <w:sz w:val="28"/>
          <w:szCs w:val="28"/>
        </w:rPr>
        <w:t>.</w:t>
      </w:r>
      <w:r w:rsidR="00617FC3">
        <w:rPr>
          <w:rFonts w:ascii="Verdana" w:hAnsi="Verdana" w:cs="Verdana"/>
          <w:b/>
          <w:bCs/>
          <w:color w:val="17365D" w:themeColor="text2" w:themeShade="BF"/>
          <w:sz w:val="28"/>
          <w:szCs w:val="28"/>
        </w:rPr>
        <w:t xml:space="preserve"> </w:t>
      </w:r>
      <w:r w:rsidR="00617FC3" w:rsidRPr="00617FC3">
        <w:rPr>
          <w:rFonts w:ascii="Verdana" w:hAnsi="Verdana" w:cs="Verdana"/>
          <w:b/>
          <w:bCs/>
          <w:i/>
          <w:color w:val="17365D" w:themeColor="text2" w:themeShade="BF"/>
          <w:sz w:val="16"/>
          <w:szCs w:val="16"/>
        </w:rPr>
        <w:t>(version 2017)</w:t>
      </w:r>
    </w:p>
    <w:p w:rsidR="00725772" w:rsidRDefault="00036422" w:rsidP="00725772">
      <w:pPr>
        <w:pStyle w:val="WW-Standard"/>
        <w:shd w:val="clear" w:color="auto" w:fill="1F497D"/>
        <w:spacing w:after="57"/>
        <w:jc w:val="center"/>
        <w:rPr>
          <w:rFonts w:ascii="Verdana" w:hAnsi="Verdana" w:cs="Verdana"/>
          <w:b/>
          <w:bCs/>
          <w:caps/>
          <w:color w:val="FFFFFF"/>
          <w:kern w:val="28"/>
          <w:sz w:val="28"/>
          <w:szCs w:val="28"/>
        </w:rPr>
      </w:pPr>
      <w:r>
        <w:rPr>
          <w:rFonts w:ascii="Verdana" w:hAnsi="Verdana" w:cs="Verdana"/>
          <w:b/>
          <w:bCs/>
          <w:caps/>
          <w:color w:val="FFFFFF"/>
          <w:kern w:val="28"/>
          <w:sz w:val="28"/>
          <w:szCs w:val="28"/>
        </w:rPr>
        <w:t>IDENTIFIER,</w:t>
      </w:r>
      <w:r w:rsidR="00C8532B">
        <w:rPr>
          <w:rFonts w:ascii="Verdana" w:hAnsi="Verdana" w:cs="Verdana"/>
          <w:b/>
          <w:bCs/>
          <w:caps/>
          <w:color w:val="FFFFFF"/>
          <w:kern w:val="28"/>
          <w:sz w:val="28"/>
          <w:szCs w:val="28"/>
        </w:rPr>
        <w:t xml:space="preserve"> </w:t>
      </w:r>
      <w:r w:rsidR="00F64F25" w:rsidRPr="00C8532B">
        <w:rPr>
          <w:rFonts w:ascii="Verdana" w:hAnsi="Verdana" w:cs="Verdana"/>
          <w:b/>
          <w:bCs/>
          <w:caps/>
          <w:color w:val="FFFFFF"/>
          <w:kern w:val="28"/>
          <w:sz w:val="28"/>
          <w:szCs w:val="28"/>
        </w:rPr>
        <w:t xml:space="preserve">accueillir et orienter les demandeurs </w:t>
      </w:r>
      <w:r w:rsidR="00725772">
        <w:rPr>
          <w:rFonts w:ascii="Verdana" w:hAnsi="Verdana" w:cs="Verdana"/>
          <w:b/>
          <w:bCs/>
          <w:caps/>
          <w:color w:val="FFFFFF"/>
          <w:kern w:val="28"/>
          <w:sz w:val="28"/>
          <w:szCs w:val="28"/>
        </w:rPr>
        <w:t xml:space="preserve">      </w:t>
      </w:r>
      <w:r w:rsidR="00F64F25" w:rsidRPr="00C8532B">
        <w:rPr>
          <w:rFonts w:ascii="Verdana" w:hAnsi="Verdana" w:cs="Verdana"/>
          <w:b/>
          <w:bCs/>
          <w:caps/>
          <w:color w:val="FFFFFF"/>
          <w:kern w:val="28"/>
          <w:sz w:val="28"/>
          <w:szCs w:val="28"/>
        </w:rPr>
        <w:t xml:space="preserve">d’emploi </w:t>
      </w:r>
      <w:r w:rsidR="00EB5C31" w:rsidRPr="00C8532B">
        <w:rPr>
          <w:rFonts w:ascii="Verdana" w:hAnsi="Verdana" w:cs="Verdana"/>
          <w:b/>
          <w:bCs/>
          <w:caps/>
          <w:color w:val="FFFFFF"/>
          <w:kern w:val="28"/>
          <w:sz w:val="28"/>
          <w:szCs w:val="28"/>
        </w:rPr>
        <w:t>/porteur de projet</w:t>
      </w:r>
      <w:r w:rsidR="00F64F25" w:rsidRPr="00C8532B">
        <w:rPr>
          <w:rFonts w:ascii="Verdana" w:hAnsi="Verdana" w:cs="Verdana"/>
          <w:b/>
          <w:bCs/>
          <w:caps/>
          <w:color w:val="FFFFFF"/>
          <w:kern w:val="28"/>
          <w:sz w:val="28"/>
          <w:szCs w:val="28"/>
        </w:rPr>
        <w:t>, en vue de renforcer</w:t>
      </w:r>
    </w:p>
    <w:p w:rsidR="00440B37" w:rsidRPr="00843724" w:rsidRDefault="00725772" w:rsidP="00725772">
      <w:pPr>
        <w:pStyle w:val="WW-Standard"/>
        <w:shd w:val="clear" w:color="auto" w:fill="1F497D"/>
        <w:spacing w:after="57"/>
        <w:jc w:val="center"/>
        <w:rPr>
          <w:rFonts w:ascii="Verdana" w:hAnsi="Verdana" w:cs="Verdana"/>
          <w:b/>
          <w:bCs/>
          <w:color w:val="FFFFFF"/>
          <w:sz w:val="28"/>
          <w:szCs w:val="28"/>
        </w:rPr>
      </w:pPr>
      <w:r>
        <w:rPr>
          <w:rFonts w:ascii="Verdana" w:hAnsi="Verdana" w:cs="Verdana"/>
          <w:b/>
          <w:bCs/>
          <w:caps/>
          <w:color w:val="FFFFFF"/>
          <w:kern w:val="28"/>
          <w:sz w:val="28"/>
          <w:szCs w:val="28"/>
        </w:rPr>
        <w:t xml:space="preserve">                 l</w:t>
      </w:r>
      <w:r w:rsidR="00F64F25" w:rsidRPr="00C8532B">
        <w:rPr>
          <w:rFonts w:ascii="Verdana" w:hAnsi="Verdana" w:cs="Verdana"/>
          <w:b/>
          <w:bCs/>
          <w:caps/>
          <w:color w:val="FFFFFF"/>
          <w:kern w:val="28"/>
          <w:sz w:val="28"/>
          <w:szCs w:val="28"/>
        </w:rPr>
        <w:t>’efficacité des parcours vers l’emploi</w:t>
      </w:r>
      <w:r w:rsidR="00F64F25">
        <w:rPr>
          <w:rFonts w:ascii="Verdana" w:hAnsi="Verdana" w:cs="Verdana"/>
          <w:b/>
          <w:bCs/>
          <w:color w:val="FFFFFF"/>
          <w:sz w:val="28"/>
          <w:szCs w:val="28"/>
        </w:rPr>
        <w:t xml:space="preserve"> </w:t>
      </w:r>
      <w:r w:rsidR="00DD597C">
        <w:rPr>
          <w:rFonts w:ascii="Verdana" w:hAnsi="Verdana" w:cs="Verdana"/>
          <w:b/>
          <w:bCs/>
          <w:color w:val="1F497D"/>
          <w:sz w:val="20"/>
          <w:szCs w:val="20"/>
        </w:rPr>
        <w:t>vue de renforcer la qualité de l’accompagnement</w:t>
      </w:r>
    </w:p>
    <w:p w:rsidR="00611755" w:rsidRDefault="00611755" w:rsidP="00611755">
      <w:pPr>
        <w:pStyle w:val="WW-Standard"/>
        <w:spacing w:after="57"/>
        <w:jc w:val="center"/>
        <w:rPr>
          <w:rFonts w:ascii="Verdana" w:hAnsi="Verdana" w:cs="Verdana"/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shd w:val="clear" w:color="auto" w:fill="B8CCE4"/>
        <w:tblLook w:val="01E0"/>
      </w:tblPr>
      <w:tblGrid>
        <w:gridCol w:w="2235"/>
        <w:gridCol w:w="8646"/>
      </w:tblGrid>
      <w:tr w:rsidR="00611755" w:rsidRPr="00243AF9" w:rsidTr="005F0153">
        <w:trPr>
          <w:trHeight w:val="754"/>
        </w:trPr>
        <w:tc>
          <w:tcPr>
            <w:tcW w:w="2235" w:type="dxa"/>
            <w:shd w:val="clear" w:color="auto" w:fill="B8CCE4"/>
            <w:vAlign w:val="center"/>
          </w:tcPr>
          <w:p w:rsidR="00611755" w:rsidRDefault="00611755" w:rsidP="00611755">
            <w:pPr>
              <w:pStyle w:val="TableContents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Pilier</w:t>
            </w:r>
            <w:r w:rsidR="00CA698C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 xml:space="preserve"> 3</w:t>
            </w:r>
          </w:p>
          <w:p w:rsidR="005F0153" w:rsidRPr="00243AF9" w:rsidRDefault="00611755" w:rsidP="00BE4175">
            <w:pPr>
              <w:pStyle w:val="TableContents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Axe</w:t>
            </w:r>
            <w:r w:rsidR="00806B91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 </w:t>
            </w:r>
            <w:r w:rsidR="00CA698C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1</w:t>
            </w:r>
          </w:p>
        </w:tc>
        <w:tc>
          <w:tcPr>
            <w:tcW w:w="8646" w:type="dxa"/>
            <w:shd w:val="clear" w:color="auto" w:fill="B8CCE4"/>
            <w:vAlign w:val="center"/>
          </w:tcPr>
          <w:p w:rsidR="00611755" w:rsidRPr="00405EFC" w:rsidRDefault="00806B91" w:rsidP="00DD597C">
            <w:pPr>
              <w:pStyle w:val="TableContents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Enjeu</w:t>
            </w:r>
            <w:r w:rsidR="00481787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 :</w:t>
            </w: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 </w:t>
            </w:r>
            <w:r w:rsidR="00440B37" w:rsidRPr="00440B37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Renforcer l’accès des habitants à l’offre de service insertion/ emploi/ formation</w:t>
            </w:r>
            <w:r w:rsidR="00FA5B21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 xml:space="preserve">/ création d’entreprises </w:t>
            </w:r>
          </w:p>
        </w:tc>
      </w:tr>
    </w:tbl>
    <w:p w:rsidR="00611755" w:rsidRPr="00243AF9" w:rsidRDefault="00611755" w:rsidP="00611755">
      <w:pPr>
        <w:pStyle w:val="WW-Standard"/>
        <w:spacing w:after="57"/>
        <w:jc w:val="center"/>
        <w:rPr>
          <w:rFonts w:ascii="Verdana" w:hAnsi="Verdana" w:cs="Verdana"/>
          <w:b/>
          <w:bCs/>
          <w:color w:val="1F497D"/>
          <w:sz w:val="20"/>
          <w:szCs w:val="20"/>
        </w:rPr>
      </w:pPr>
    </w:p>
    <w:tbl>
      <w:tblPr>
        <w:tblW w:w="10854" w:type="dxa"/>
        <w:tblInd w:w="-7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2375"/>
        <w:gridCol w:w="8479"/>
      </w:tblGrid>
      <w:tr w:rsidR="00611755" w:rsidRPr="000F1A71" w:rsidTr="73C42CC5">
        <w:trPr>
          <w:trHeight w:val="150"/>
        </w:trPr>
        <w:tc>
          <w:tcPr>
            <w:tcW w:w="2370" w:type="dxa"/>
            <w:shd w:val="clear" w:color="auto" w:fill="B8CCE4" w:themeFill="accent1" w:themeFillTint="66"/>
          </w:tcPr>
          <w:p w:rsidR="00611755" w:rsidRPr="000F1A71" w:rsidRDefault="00611755" w:rsidP="00611755">
            <w:pPr>
              <w:pStyle w:val="TableContents"/>
              <w:snapToGrid w:val="0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 w:rsidRPr="000F1A71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 xml:space="preserve">Contexte </w:t>
            </w:r>
          </w:p>
          <w:p w:rsidR="00611755" w:rsidRPr="000F1A71" w:rsidRDefault="00DC60F1" w:rsidP="00611755">
            <w:pPr>
              <w:pStyle w:val="TableContents"/>
              <w:snapToGrid w:val="0"/>
              <w:spacing w:before="120" w:after="120"/>
              <w:ind w:left="71" w:right="-10"/>
              <w:rPr>
                <w:rFonts w:ascii="Verdana" w:hAnsi="Verdana" w:cs="Verdana"/>
                <w:bCs/>
                <w:i/>
                <w:color w:val="1F497D"/>
                <w:sz w:val="20"/>
                <w:szCs w:val="20"/>
              </w:rPr>
            </w:pPr>
            <w:bookmarkStart w:id="0" w:name="_GoBack"/>
            <w:r w:rsidRPr="00C23069">
              <w:rPr>
                <w:rFonts w:ascii="Verdana" w:hAnsi="Verdana" w:cs="Arial"/>
                <w:i/>
                <w:color w:val="FF0000"/>
                <w:sz w:val="20"/>
                <w:szCs w:val="20"/>
              </w:rPr>
              <w:t>Actualisation si possibilité</w:t>
            </w:r>
            <w:bookmarkEnd w:id="0"/>
          </w:p>
        </w:tc>
        <w:tc>
          <w:tcPr>
            <w:tcW w:w="8460" w:type="dxa"/>
            <w:shd w:val="clear" w:color="auto" w:fill="B8CCE4" w:themeFill="accent1" w:themeFillTint="66"/>
          </w:tcPr>
          <w:p w:rsidR="005B77E2" w:rsidRPr="00DC60F1" w:rsidRDefault="005B77E2" w:rsidP="00C23069">
            <w:pPr>
              <w:pStyle w:val="TableContents"/>
              <w:autoSpaceDN w:val="0"/>
              <w:spacing w:before="120"/>
              <w:ind w:left="132" w:right="131"/>
              <w:jc w:val="both"/>
              <w:rPr>
                <w:rFonts w:ascii="Verdana" w:hAnsi="Verdana" w:cs="Arial"/>
                <w:color w:val="1F497D" w:themeColor="text2"/>
                <w:sz w:val="20"/>
                <w:szCs w:val="20"/>
              </w:rPr>
            </w:pPr>
            <w:r w:rsidRPr="005B77E2">
              <w:rPr>
                <w:rFonts w:ascii="Verdana" w:hAnsi="Verdana" w:cs="Arial"/>
                <w:color w:val="1F497D"/>
                <w:sz w:val="20"/>
                <w:szCs w:val="20"/>
              </w:rPr>
              <w:t>-</w:t>
            </w:r>
            <w:r w:rsidRPr="00DC60F1">
              <w:rPr>
                <w:rFonts w:ascii="Verdana" w:hAnsi="Verdana" w:cs="Arial"/>
                <w:color w:val="1F497D" w:themeColor="text2"/>
                <w:sz w:val="20"/>
                <w:szCs w:val="20"/>
              </w:rPr>
              <w:t xml:space="preserve">des personnes exclues de tout accompagnement en faveur du retour à l’emploi, </w:t>
            </w:r>
          </w:p>
          <w:p w:rsidR="005B77E2" w:rsidRPr="00DC60F1" w:rsidRDefault="005B77E2" w:rsidP="00C23069">
            <w:pPr>
              <w:pStyle w:val="TableContents"/>
              <w:autoSpaceDN w:val="0"/>
              <w:spacing w:before="120"/>
              <w:ind w:left="132" w:right="131"/>
              <w:jc w:val="both"/>
              <w:rPr>
                <w:rFonts w:ascii="Verdana" w:hAnsi="Verdana" w:cs="Arial"/>
                <w:color w:val="1F497D" w:themeColor="text2"/>
                <w:sz w:val="20"/>
                <w:szCs w:val="20"/>
              </w:rPr>
            </w:pPr>
            <w:r w:rsidRPr="00DC60F1">
              <w:rPr>
                <w:rFonts w:ascii="Verdana" w:hAnsi="Verdana" w:cs="Arial"/>
                <w:color w:val="1F497D" w:themeColor="text2"/>
                <w:sz w:val="20"/>
                <w:szCs w:val="20"/>
              </w:rPr>
              <w:t xml:space="preserve">-une population jeune, femme, senior sous représentée dans les publics identifiés dans l’offre d’accompagnement du SPE, </w:t>
            </w:r>
          </w:p>
          <w:p w:rsidR="005B77E2" w:rsidRPr="00DC60F1" w:rsidRDefault="005B77E2" w:rsidP="00C23069">
            <w:pPr>
              <w:pStyle w:val="TableContents"/>
              <w:autoSpaceDN w:val="0"/>
              <w:spacing w:before="120"/>
              <w:ind w:left="132" w:right="131"/>
              <w:jc w:val="both"/>
              <w:rPr>
                <w:rFonts w:ascii="Verdana" w:hAnsi="Verdana" w:cs="Arial"/>
                <w:color w:val="1F497D" w:themeColor="text2"/>
                <w:sz w:val="20"/>
                <w:szCs w:val="20"/>
              </w:rPr>
            </w:pPr>
            <w:r w:rsidRPr="00DC60F1">
              <w:rPr>
                <w:rFonts w:ascii="Verdana" w:hAnsi="Verdana" w:cs="Arial"/>
                <w:color w:val="1F497D" w:themeColor="text2"/>
                <w:sz w:val="20"/>
                <w:szCs w:val="20"/>
              </w:rPr>
              <w:t>-un maillage structuré par la présence ou le relais d’acteurs emploi dans les quartiers au travers :</w:t>
            </w:r>
          </w:p>
          <w:p w:rsidR="005B77E2" w:rsidRPr="00DC60F1" w:rsidRDefault="005B77E2" w:rsidP="00C23069">
            <w:pPr>
              <w:pStyle w:val="TableContents"/>
              <w:numPr>
                <w:ilvl w:val="0"/>
                <w:numId w:val="15"/>
              </w:numPr>
              <w:autoSpaceDN w:val="0"/>
              <w:spacing w:before="120"/>
              <w:ind w:right="131"/>
              <w:jc w:val="both"/>
              <w:rPr>
                <w:rFonts w:ascii="Verdana" w:hAnsi="Verdana" w:cs="Arial"/>
                <w:color w:val="1F497D" w:themeColor="text2"/>
                <w:sz w:val="20"/>
                <w:szCs w:val="20"/>
              </w:rPr>
            </w:pPr>
            <w:r w:rsidRPr="00DC60F1">
              <w:rPr>
                <w:rFonts w:ascii="Verdana" w:hAnsi="Verdana" w:cs="Arial"/>
                <w:color w:val="1F497D" w:themeColor="text2"/>
                <w:sz w:val="20"/>
                <w:szCs w:val="20"/>
              </w:rPr>
              <w:t xml:space="preserve">la présence des </w:t>
            </w:r>
            <w:r w:rsidR="00DC60F1">
              <w:rPr>
                <w:rFonts w:ascii="Verdana" w:hAnsi="Verdana" w:cs="Arial"/>
                <w:color w:val="1F497D" w:themeColor="text2"/>
                <w:sz w:val="20"/>
                <w:szCs w:val="20"/>
              </w:rPr>
              <w:t>antennes emploi de proximités (</w:t>
            </w:r>
            <w:r w:rsidRPr="00DC60F1">
              <w:rPr>
                <w:rFonts w:ascii="Verdana" w:hAnsi="Verdana" w:cs="Arial"/>
                <w:color w:val="1F497D" w:themeColor="text2"/>
                <w:sz w:val="20"/>
                <w:szCs w:val="20"/>
              </w:rPr>
              <w:t>AEP</w:t>
            </w:r>
            <w:r w:rsidR="00DC60F1">
              <w:rPr>
                <w:rFonts w:ascii="Verdana" w:hAnsi="Verdana" w:cs="Arial"/>
                <w:color w:val="1F497D" w:themeColor="text2"/>
                <w:sz w:val="20"/>
                <w:szCs w:val="20"/>
              </w:rPr>
              <w:t>)</w:t>
            </w:r>
            <w:r w:rsidRPr="00DC60F1">
              <w:rPr>
                <w:rFonts w:ascii="Verdana" w:hAnsi="Verdana" w:cs="Arial"/>
                <w:color w:val="1F497D" w:themeColor="text2"/>
                <w:sz w:val="20"/>
                <w:szCs w:val="20"/>
              </w:rPr>
              <w:t xml:space="preserve"> agissant au cœur des quartiers qui viennent, sur les deux dernières années, de bénéficier d’actions de professionnalisation des agents d’accueil, notamment par l’établi</w:t>
            </w:r>
            <w:r w:rsidR="00A01652" w:rsidRPr="00DC60F1">
              <w:rPr>
                <w:rFonts w:ascii="Verdana" w:hAnsi="Verdana" w:cs="Arial"/>
                <w:color w:val="1F497D" w:themeColor="text2"/>
                <w:sz w:val="20"/>
                <w:szCs w:val="20"/>
              </w:rPr>
              <w:t>ssement d’un référentiel commun</w:t>
            </w:r>
            <w:r w:rsidRPr="00DC60F1">
              <w:rPr>
                <w:rFonts w:ascii="Verdana" w:hAnsi="Verdana" w:cs="Arial"/>
                <w:color w:val="1F497D" w:themeColor="text2"/>
                <w:sz w:val="20"/>
                <w:szCs w:val="20"/>
              </w:rPr>
              <w:t xml:space="preserve">, </w:t>
            </w:r>
          </w:p>
          <w:p w:rsidR="005B77E2" w:rsidRPr="00DC60F1" w:rsidRDefault="005B77E2" w:rsidP="00C23069">
            <w:pPr>
              <w:pStyle w:val="TableContents"/>
              <w:numPr>
                <w:ilvl w:val="0"/>
                <w:numId w:val="15"/>
              </w:numPr>
              <w:autoSpaceDN w:val="0"/>
              <w:spacing w:before="120"/>
              <w:ind w:right="131"/>
              <w:jc w:val="both"/>
              <w:rPr>
                <w:rFonts w:ascii="Verdana" w:hAnsi="Verdana" w:cs="Arial"/>
                <w:color w:val="1F497D" w:themeColor="text2"/>
                <w:sz w:val="20"/>
                <w:szCs w:val="20"/>
              </w:rPr>
            </w:pPr>
            <w:r w:rsidRPr="00DC60F1">
              <w:rPr>
                <w:rFonts w:ascii="Verdana" w:hAnsi="Verdana" w:cs="Arial"/>
                <w:color w:val="1F497D" w:themeColor="text2"/>
                <w:sz w:val="20"/>
                <w:szCs w:val="20"/>
              </w:rPr>
              <w:t>des temps d’animation dédiés aux AEP qui participent à la professionnalisation des acteurs</w:t>
            </w:r>
            <w:r w:rsidR="00A01652" w:rsidRPr="00DC60F1">
              <w:rPr>
                <w:rFonts w:ascii="Verdana" w:hAnsi="Verdana" w:cs="Arial"/>
                <w:color w:val="1F497D" w:themeColor="text2"/>
                <w:sz w:val="20"/>
                <w:szCs w:val="20"/>
              </w:rPr>
              <w:t>,</w:t>
            </w:r>
          </w:p>
          <w:p w:rsidR="005B77E2" w:rsidRPr="00DC60F1" w:rsidRDefault="005B77E2" w:rsidP="00C23069">
            <w:pPr>
              <w:pStyle w:val="TableContents"/>
              <w:numPr>
                <w:ilvl w:val="0"/>
                <w:numId w:val="15"/>
              </w:numPr>
              <w:autoSpaceDN w:val="0"/>
              <w:spacing w:before="120"/>
              <w:ind w:right="131"/>
              <w:jc w:val="both"/>
              <w:rPr>
                <w:rFonts w:ascii="Verdana" w:hAnsi="Verdana" w:cs="Arial"/>
                <w:color w:val="1F497D" w:themeColor="text2"/>
                <w:sz w:val="20"/>
                <w:szCs w:val="20"/>
              </w:rPr>
            </w:pPr>
            <w:r w:rsidRPr="00DC60F1">
              <w:rPr>
                <w:rFonts w:ascii="Verdana" w:hAnsi="Verdana" w:cs="Arial"/>
                <w:color w:val="1F497D" w:themeColor="text2"/>
                <w:sz w:val="20"/>
                <w:szCs w:val="20"/>
              </w:rPr>
              <w:t>la déclinaison de l’accompagnement global au bénéfice des allocataires RSA résidents QPV</w:t>
            </w:r>
            <w:r w:rsidR="00A01652" w:rsidRPr="00DC60F1">
              <w:rPr>
                <w:rFonts w:ascii="Verdana" w:hAnsi="Verdana" w:cs="Arial"/>
                <w:color w:val="1F497D" w:themeColor="text2"/>
                <w:sz w:val="20"/>
                <w:szCs w:val="20"/>
              </w:rPr>
              <w:t>,</w:t>
            </w:r>
          </w:p>
          <w:p w:rsidR="00854452" w:rsidRPr="00DC60F1" w:rsidRDefault="005B77E2" w:rsidP="00C23069">
            <w:pPr>
              <w:pStyle w:val="TableContents"/>
              <w:numPr>
                <w:ilvl w:val="0"/>
                <w:numId w:val="15"/>
              </w:numPr>
              <w:autoSpaceDN w:val="0"/>
              <w:spacing w:before="120"/>
              <w:ind w:right="131"/>
              <w:jc w:val="both"/>
              <w:rPr>
                <w:rFonts w:ascii="Verdana" w:hAnsi="Verdana" w:cs="Arial"/>
                <w:color w:val="1F497D" w:themeColor="text2"/>
                <w:sz w:val="20"/>
                <w:szCs w:val="20"/>
              </w:rPr>
            </w:pPr>
            <w:r w:rsidRPr="00DC60F1">
              <w:rPr>
                <w:rFonts w:ascii="Verdana" w:hAnsi="Verdana" w:cs="Arial"/>
                <w:color w:val="1F497D" w:themeColor="text2"/>
                <w:sz w:val="20"/>
                <w:szCs w:val="20"/>
              </w:rPr>
              <w:t xml:space="preserve">la mobilisation de structures missionnées par le PLIE </w:t>
            </w:r>
            <w:r w:rsidR="00036422" w:rsidRPr="00DC60F1">
              <w:rPr>
                <w:rFonts w:ascii="Verdana" w:hAnsi="Verdana" w:cs="Arial"/>
                <w:color w:val="1F497D" w:themeColor="text2"/>
                <w:sz w:val="20"/>
                <w:szCs w:val="20"/>
              </w:rPr>
              <w:t>œuvrant</w:t>
            </w:r>
            <w:r w:rsidRPr="00DC60F1">
              <w:rPr>
                <w:rFonts w:ascii="Verdana" w:hAnsi="Verdana" w:cs="Arial"/>
                <w:color w:val="1F497D" w:themeColor="text2"/>
                <w:sz w:val="20"/>
                <w:szCs w:val="20"/>
              </w:rPr>
              <w:t xml:space="preserve"> pour</w:t>
            </w:r>
            <w:r w:rsidR="00090072" w:rsidRPr="00DC60F1">
              <w:rPr>
                <w:color w:val="1F497D" w:themeColor="text2"/>
              </w:rPr>
              <w:t xml:space="preserve"> </w:t>
            </w:r>
            <w:r w:rsidR="00090072" w:rsidRPr="00DC60F1">
              <w:rPr>
                <w:rFonts w:ascii="Verdana" w:hAnsi="Verdana" w:cs="Arial"/>
                <w:color w:val="1F497D" w:themeColor="text2"/>
                <w:sz w:val="20"/>
                <w:szCs w:val="20"/>
              </w:rPr>
              <w:t xml:space="preserve">l’accompagnement des DE </w:t>
            </w:r>
            <w:r w:rsidR="00036422" w:rsidRPr="00DC60F1">
              <w:rPr>
                <w:rFonts w:ascii="Verdana" w:hAnsi="Verdana" w:cs="Arial"/>
                <w:color w:val="1F497D" w:themeColor="text2"/>
                <w:sz w:val="20"/>
                <w:szCs w:val="20"/>
              </w:rPr>
              <w:t xml:space="preserve">des </w:t>
            </w:r>
            <w:r w:rsidR="00090072" w:rsidRPr="00DC60F1">
              <w:rPr>
                <w:rFonts w:ascii="Verdana" w:hAnsi="Verdana" w:cs="Arial"/>
                <w:color w:val="1F497D" w:themeColor="text2"/>
                <w:sz w:val="20"/>
                <w:szCs w:val="20"/>
              </w:rPr>
              <w:t>QPV</w:t>
            </w:r>
            <w:r w:rsidR="00A01652" w:rsidRPr="00DC60F1">
              <w:rPr>
                <w:rFonts w:ascii="Verdana" w:hAnsi="Verdana" w:cs="Arial"/>
                <w:color w:val="1F497D" w:themeColor="text2"/>
                <w:sz w:val="20"/>
                <w:szCs w:val="20"/>
              </w:rPr>
              <w:t>,</w:t>
            </w:r>
          </w:p>
          <w:p w:rsidR="00C23069" w:rsidRPr="00C23069" w:rsidRDefault="00A01652" w:rsidP="00DC60F1">
            <w:pPr>
              <w:pStyle w:val="TableContents"/>
              <w:numPr>
                <w:ilvl w:val="0"/>
                <w:numId w:val="15"/>
              </w:numPr>
              <w:autoSpaceDN w:val="0"/>
              <w:spacing w:before="120"/>
              <w:ind w:right="131"/>
              <w:jc w:val="both"/>
              <w:rPr>
                <w:rFonts w:ascii="Verdana" w:hAnsi="Verdana" w:cs="Arial"/>
                <w:i/>
                <w:color w:val="1F497D"/>
                <w:sz w:val="20"/>
                <w:szCs w:val="20"/>
              </w:rPr>
            </w:pPr>
            <w:r w:rsidRPr="00DC60F1">
              <w:rPr>
                <w:rFonts w:ascii="Verdana" w:hAnsi="Verdana" w:cs="Arial"/>
                <w:color w:val="1F497D" w:themeColor="text2"/>
                <w:sz w:val="20"/>
                <w:szCs w:val="20"/>
              </w:rPr>
              <w:t>en appui du S</w:t>
            </w:r>
            <w:r w:rsidR="00DC60F1">
              <w:rPr>
                <w:rFonts w:ascii="Verdana" w:hAnsi="Verdana" w:cs="Arial"/>
                <w:color w:val="1F497D" w:themeColor="text2"/>
                <w:sz w:val="20"/>
                <w:szCs w:val="20"/>
              </w:rPr>
              <w:t xml:space="preserve">ervice </w:t>
            </w:r>
            <w:r w:rsidRPr="00DC60F1">
              <w:rPr>
                <w:rFonts w:ascii="Verdana" w:hAnsi="Verdana" w:cs="Arial"/>
                <w:color w:val="1F497D" w:themeColor="text2"/>
                <w:sz w:val="20"/>
                <w:szCs w:val="20"/>
              </w:rPr>
              <w:t>P</w:t>
            </w:r>
            <w:r w:rsidR="00DC60F1">
              <w:rPr>
                <w:rFonts w:ascii="Verdana" w:hAnsi="Verdana" w:cs="Arial"/>
                <w:color w:val="1F497D" w:themeColor="text2"/>
                <w:sz w:val="20"/>
                <w:szCs w:val="20"/>
              </w:rPr>
              <w:t xml:space="preserve">ublic </w:t>
            </w:r>
            <w:r w:rsidRPr="00DC60F1">
              <w:rPr>
                <w:rFonts w:ascii="Verdana" w:hAnsi="Verdana" w:cs="Arial"/>
                <w:color w:val="1F497D" w:themeColor="text2"/>
                <w:sz w:val="20"/>
                <w:szCs w:val="20"/>
              </w:rPr>
              <w:t>R</w:t>
            </w:r>
            <w:r w:rsidR="00DC60F1">
              <w:rPr>
                <w:rFonts w:ascii="Verdana" w:hAnsi="Verdana" w:cs="Arial"/>
                <w:color w:val="1F497D" w:themeColor="text2"/>
                <w:sz w:val="20"/>
                <w:szCs w:val="20"/>
              </w:rPr>
              <w:t>égional de l’</w:t>
            </w:r>
            <w:r w:rsidRPr="00DC60F1">
              <w:rPr>
                <w:rFonts w:ascii="Verdana" w:hAnsi="Verdana" w:cs="Arial"/>
                <w:color w:val="1F497D" w:themeColor="text2"/>
                <w:sz w:val="20"/>
                <w:szCs w:val="20"/>
              </w:rPr>
              <w:t>O</w:t>
            </w:r>
            <w:r w:rsidR="00DC60F1">
              <w:rPr>
                <w:rFonts w:ascii="Verdana" w:hAnsi="Verdana" w:cs="Arial"/>
                <w:color w:val="1F497D" w:themeColor="text2"/>
                <w:sz w:val="20"/>
                <w:szCs w:val="20"/>
              </w:rPr>
              <w:t>rientation (SPRO)</w:t>
            </w:r>
            <w:r w:rsidRPr="00DC60F1">
              <w:rPr>
                <w:rFonts w:ascii="Verdana" w:hAnsi="Verdana" w:cs="Arial"/>
                <w:color w:val="1F497D" w:themeColor="text2"/>
                <w:sz w:val="20"/>
                <w:szCs w:val="20"/>
              </w:rPr>
              <w:t xml:space="preserve"> rénové qui concourt au renforcement de la qualité de l’orientation.</w:t>
            </w:r>
          </w:p>
        </w:tc>
      </w:tr>
      <w:tr w:rsidR="00611755" w:rsidRPr="000F1A71" w:rsidTr="73C42CC5">
        <w:trPr>
          <w:trHeight w:val="142"/>
        </w:trPr>
        <w:tc>
          <w:tcPr>
            <w:tcW w:w="2370" w:type="dxa"/>
            <w:shd w:val="clear" w:color="auto" w:fill="B8CCE4" w:themeFill="accent1" w:themeFillTint="66"/>
          </w:tcPr>
          <w:p w:rsidR="00611755" w:rsidRPr="000F1A71" w:rsidRDefault="00611755" w:rsidP="00611755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 w:rsidRPr="000F1A71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Objectifs et dynamiques</w:t>
            </w:r>
          </w:p>
          <w:p w:rsidR="00611755" w:rsidRPr="000F1A71" w:rsidRDefault="00611755" w:rsidP="008D57C0">
            <w:pPr>
              <w:pStyle w:val="TableContents"/>
              <w:autoSpaceDN w:val="0"/>
              <w:spacing w:before="120" w:after="120"/>
              <w:jc w:val="both"/>
              <w:rPr>
                <w:rFonts w:ascii="Verdana" w:hAnsi="Verdana" w:cs="Arial"/>
                <w:i/>
                <w:color w:val="1F497D"/>
                <w:sz w:val="20"/>
                <w:szCs w:val="20"/>
              </w:rPr>
            </w:pPr>
          </w:p>
        </w:tc>
        <w:tc>
          <w:tcPr>
            <w:tcW w:w="8460" w:type="dxa"/>
            <w:shd w:val="clear" w:color="auto" w:fill="B8CCE4" w:themeFill="accent1" w:themeFillTint="66"/>
          </w:tcPr>
          <w:p w:rsidR="00854452" w:rsidRPr="00864CBA" w:rsidRDefault="73C42CC5" w:rsidP="00C10DAA">
            <w:pPr>
              <w:widowControl/>
              <w:numPr>
                <w:ilvl w:val="1"/>
                <w:numId w:val="8"/>
              </w:numPr>
              <w:suppressAutoHyphens w:val="0"/>
              <w:ind w:left="357" w:hanging="357"/>
              <w:jc w:val="both"/>
              <w:textAlignment w:val="auto"/>
              <w:rPr>
                <w:rFonts w:ascii="Verdana" w:eastAsia="Verdana,Arial" w:hAnsi="Verdana" w:cs="Verdana,Arial"/>
                <w:color w:val="1F497D"/>
                <w:sz w:val="20"/>
                <w:szCs w:val="20"/>
              </w:rPr>
            </w:pPr>
            <w:r w:rsidRPr="00864CBA">
              <w:rPr>
                <w:rFonts w:ascii="Verdana" w:eastAsia="Verdana,Arial" w:hAnsi="Verdana" w:cs="Verdana,Arial"/>
                <w:color w:val="1F497D" w:themeColor="text2"/>
                <w:sz w:val="20"/>
                <w:szCs w:val="20"/>
              </w:rPr>
              <w:t xml:space="preserve">Professionnaliser et coordonner l’accueil de tous les publics et continuer à animer le réseau des antennes </w:t>
            </w:r>
            <w:r w:rsidR="00C23069">
              <w:rPr>
                <w:rFonts w:ascii="Verdana" w:eastAsia="Verdana,Arial" w:hAnsi="Verdana" w:cs="Verdana,Arial"/>
                <w:color w:val="1F497D" w:themeColor="text2"/>
                <w:sz w:val="20"/>
                <w:szCs w:val="20"/>
              </w:rPr>
              <w:t xml:space="preserve">emploi </w:t>
            </w:r>
            <w:r w:rsidRPr="00864CBA">
              <w:rPr>
                <w:rFonts w:ascii="Verdana" w:eastAsia="Verdana,Arial" w:hAnsi="Verdana" w:cs="Verdana,Arial"/>
                <w:color w:val="1F497D" w:themeColor="text2"/>
                <w:sz w:val="20"/>
                <w:szCs w:val="20"/>
              </w:rPr>
              <w:t xml:space="preserve">de proximité </w:t>
            </w:r>
          </w:p>
          <w:p w:rsidR="00854452" w:rsidRPr="00864CBA" w:rsidRDefault="00854452" w:rsidP="00C10DAA">
            <w:pPr>
              <w:widowControl/>
              <w:numPr>
                <w:ilvl w:val="1"/>
                <w:numId w:val="8"/>
              </w:numPr>
              <w:suppressAutoHyphens w:val="0"/>
              <w:ind w:left="357" w:hanging="357"/>
              <w:jc w:val="both"/>
              <w:textAlignment w:val="auto"/>
              <w:rPr>
                <w:rFonts w:ascii="Verdana" w:hAnsi="Verdana" w:cs="Arial"/>
                <w:color w:val="1F497D"/>
                <w:sz w:val="20"/>
                <w:szCs w:val="20"/>
              </w:rPr>
            </w:pPr>
            <w:r w:rsidRPr="00864CBA">
              <w:rPr>
                <w:rFonts w:ascii="Verdana" w:hAnsi="Verdana" w:cs="Arial"/>
                <w:color w:val="1F497D"/>
                <w:sz w:val="20"/>
                <w:szCs w:val="20"/>
              </w:rPr>
              <w:t xml:space="preserve">Rendre l’offre </w:t>
            </w:r>
            <w:r w:rsidR="00DD76CD">
              <w:rPr>
                <w:rFonts w:ascii="Verdana" w:hAnsi="Verdana" w:cs="Arial"/>
                <w:color w:val="1F497D"/>
                <w:sz w:val="20"/>
                <w:szCs w:val="20"/>
              </w:rPr>
              <w:t>d’insertion, et de création d’</w:t>
            </w:r>
            <w:r w:rsidR="00092614">
              <w:rPr>
                <w:rFonts w:ascii="Verdana" w:hAnsi="Verdana" w:cs="Arial"/>
                <w:color w:val="1F497D"/>
                <w:sz w:val="20"/>
                <w:szCs w:val="20"/>
              </w:rPr>
              <w:t>activité</w:t>
            </w:r>
            <w:r w:rsidRPr="00864CBA">
              <w:rPr>
                <w:rFonts w:ascii="Verdana" w:hAnsi="Verdana" w:cs="Arial"/>
                <w:color w:val="1F497D"/>
                <w:sz w:val="20"/>
                <w:szCs w:val="20"/>
              </w:rPr>
              <w:t xml:space="preserve"> plus visible par tous et pour tous</w:t>
            </w:r>
            <w:r w:rsidR="009C178E" w:rsidRPr="00864CBA">
              <w:rPr>
                <w:rFonts w:ascii="Verdana" w:hAnsi="Verdana" w:cs="Arial"/>
                <w:color w:val="1F497D"/>
                <w:sz w:val="20"/>
                <w:szCs w:val="20"/>
              </w:rPr>
              <w:t xml:space="preserve"> </w:t>
            </w:r>
          </w:p>
          <w:p w:rsidR="00864CBA" w:rsidRPr="00864CBA" w:rsidRDefault="00DA3754" w:rsidP="00C10DAA">
            <w:pPr>
              <w:widowControl/>
              <w:numPr>
                <w:ilvl w:val="1"/>
                <w:numId w:val="8"/>
              </w:numPr>
              <w:suppressAutoHyphens w:val="0"/>
              <w:ind w:left="357" w:hanging="357"/>
              <w:jc w:val="both"/>
              <w:textAlignment w:val="auto"/>
              <w:rPr>
                <w:rFonts w:ascii="Verdana" w:hAnsi="Verdana" w:cs="Arial"/>
                <w:color w:val="1F497D"/>
                <w:sz w:val="20"/>
                <w:szCs w:val="20"/>
              </w:rPr>
            </w:pPr>
            <w:r w:rsidRPr="00864CBA">
              <w:rPr>
                <w:rFonts w:ascii="Verdana" w:hAnsi="Verdana" w:cs="Arial"/>
                <w:color w:val="1F497D"/>
                <w:sz w:val="20"/>
                <w:szCs w:val="20"/>
              </w:rPr>
              <w:t>Mobilis</w:t>
            </w:r>
            <w:r w:rsidR="00854452" w:rsidRPr="00864CBA">
              <w:rPr>
                <w:rFonts w:ascii="Verdana" w:hAnsi="Verdana" w:cs="Arial"/>
                <w:color w:val="1F497D"/>
                <w:sz w:val="20"/>
                <w:szCs w:val="20"/>
              </w:rPr>
              <w:t>er</w:t>
            </w:r>
            <w:r w:rsidR="00344A01" w:rsidRPr="00864CBA">
              <w:rPr>
                <w:rFonts w:ascii="Verdana" w:hAnsi="Verdana" w:cs="Arial"/>
                <w:color w:val="1F497D"/>
                <w:sz w:val="20"/>
                <w:szCs w:val="20"/>
              </w:rPr>
              <w:t xml:space="preserve"> </w:t>
            </w:r>
            <w:r w:rsidR="00854452" w:rsidRPr="00864CBA">
              <w:rPr>
                <w:rFonts w:ascii="Verdana" w:hAnsi="Verdana" w:cs="Arial"/>
                <w:color w:val="1F497D"/>
                <w:sz w:val="20"/>
                <w:szCs w:val="20"/>
              </w:rPr>
              <w:t>l</w:t>
            </w:r>
            <w:r w:rsidRPr="00864CBA">
              <w:rPr>
                <w:rFonts w:ascii="Verdana" w:hAnsi="Verdana" w:cs="Arial"/>
                <w:color w:val="1F497D"/>
                <w:sz w:val="20"/>
                <w:szCs w:val="20"/>
              </w:rPr>
              <w:t xml:space="preserve">es opérateurs hors emploi des quartiers pour qu’ils mobilisent/ orientent les habitants </w:t>
            </w:r>
            <w:r w:rsidR="00344A01" w:rsidRPr="00864CBA">
              <w:rPr>
                <w:rFonts w:ascii="Verdana" w:hAnsi="Verdana" w:cs="Arial"/>
                <w:color w:val="1F497D"/>
                <w:sz w:val="20"/>
                <w:szCs w:val="20"/>
              </w:rPr>
              <w:t>demandeurs d’emploi</w:t>
            </w:r>
            <w:r w:rsidRPr="00864CBA">
              <w:rPr>
                <w:rFonts w:ascii="Verdana" w:hAnsi="Verdana" w:cs="Arial"/>
                <w:color w:val="1F497D"/>
                <w:sz w:val="20"/>
                <w:szCs w:val="20"/>
              </w:rPr>
              <w:t xml:space="preserve"> vers les structures </w:t>
            </w:r>
            <w:r w:rsidR="00344A01" w:rsidRPr="00864CBA">
              <w:rPr>
                <w:rFonts w:ascii="Verdana" w:hAnsi="Verdana" w:cs="Arial"/>
                <w:color w:val="1F497D"/>
                <w:sz w:val="20"/>
                <w:szCs w:val="20"/>
              </w:rPr>
              <w:t>d’accueil emploi</w:t>
            </w:r>
            <w:r w:rsidR="00EB5C31" w:rsidRPr="00864CBA">
              <w:rPr>
                <w:rFonts w:ascii="Verdana" w:hAnsi="Verdana" w:cs="Arial"/>
                <w:color w:val="1F497D"/>
                <w:sz w:val="20"/>
                <w:szCs w:val="20"/>
              </w:rPr>
              <w:t>/création reprise d’entreprise</w:t>
            </w:r>
            <w:r w:rsidR="00344A01" w:rsidRPr="00864CBA">
              <w:rPr>
                <w:rFonts w:ascii="Verdana" w:hAnsi="Verdana" w:cs="Arial"/>
                <w:color w:val="1F497D"/>
                <w:sz w:val="20"/>
                <w:szCs w:val="20"/>
              </w:rPr>
              <w:t xml:space="preserve"> du territoire</w:t>
            </w:r>
          </w:p>
          <w:p w:rsidR="00864CBA" w:rsidRDefault="00864CBA" w:rsidP="00C10DAA">
            <w:pPr>
              <w:widowControl/>
              <w:numPr>
                <w:ilvl w:val="1"/>
                <w:numId w:val="8"/>
              </w:numPr>
              <w:suppressAutoHyphens w:val="0"/>
              <w:ind w:left="357" w:hanging="357"/>
              <w:jc w:val="both"/>
              <w:textAlignment w:val="auto"/>
              <w:rPr>
                <w:rFonts w:ascii="Verdana" w:hAnsi="Verdana" w:cs="Arial"/>
                <w:color w:val="1F497D"/>
                <w:sz w:val="20"/>
                <w:szCs w:val="20"/>
              </w:rPr>
            </w:pPr>
            <w:r w:rsidRPr="00864CBA">
              <w:rPr>
                <w:rFonts w:ascii="Verdana" w:hAnsi="Verdana" w:cs="Arial"/>
                <w:color w:val="1F497D"/>
                <w:sz w:val="20"/>
                <w:szCs w:val="20"/>
              </w:rPr>
              <w:t>Mettre en relation plus étroite les compétences existantes sur les territoires avec les besoins des entreprises</w:t>
            </w:r>
          </w:p>
          <w:p w:rsidR="00C8532B" w:rsidRPr="00036422" w:rsidRDefault="00C8532B" w:rsidP="00C10DAA">
            <w:pPr>
              <w:widowControl/>
              <w:numPr>
                <w:ilvl w:val="1"/>
                <w:numId w:val="8"/>
              </w:numPr>
              <w:suppressAutoHyphens w:val="0"/>
              <w:ind w:left="357" w:hanging="357"/>
              <w:jc w:val="both"/>
              <w:textAlignment w:val="auto"/>
              <w:rPr>
                <w:rFonts w:ascii="Verdana" w:hAnsi="Verdana" w:cs="Arial"/>
                <w:color w:val="1F497D"/>
                <w:sz w:val="20"/>
                <w:szCs w:val="20"/>
              </w:rPr>
            </w:pPr>
            <w:r w:rsidRPr="00036422">
              <w:rPr>
                <w:rFonts w:ascii="Verdana" w:hAnsi="Verdana" w:cs="Arial"/>
                <w:color w:val="1F497D"/>
                <w:sz w:val="20"/>
                <w:szCs w:val="20"/>
              </w:rPr>
              <w:t>Clarifier  les modes d'intervention des acteurs du champ de l'insertion</w:t>
            </w:r>
          </w:p>
          <w:p w:rsidR="00C8532B" w:rsidRPr="00864CBA" w:rsidRDefault="00342ADB" w:rsidP="00C23069">
            <w:pPr>
              <w:widowControl/>
              <w:numPr>
                <w:ilvl w:val="1"/>
                <w:numId w:val="8"/>
              </w:numPr>
              <w:suppressAutoHyphens w:val="0"/>
              <w:ind w:left="357" w:hanging="357"/>
              <w:jc w:val="both"/>
              <w:textAlignment w:val="auto"/>
              <w:rPr>
                <w:rFonts w:ascii="Verdana" w:hAnsi="Verdana" w:cs="Arial"/>
                <w:color w:val="1F497D"/>
                <w:sz w:val="20"/>
                <w:szCs w:val="20"/>
              </w:rPr>
            </w:pPr>
            <w:r w:rsidRPr="00342ADB">
              <w:rPr>
                <w:rFonts w:ascii="Verdana" w:hAnsi="Verdana" w:cs="Arial"/>
                <w:color w:val="1F497D"/>
                <w:sz w:val="20"/>
                <w:szCs w:val="20"/>
              </w:rPr>
              <w:t>Optim</w:t>
            </w:r>
            <w:r w:rsidR="00C23069">
              <w:rPr>
                <w:rFonts w:ascii="Verdana" w:hAnsi="Verdana" w:cs="Arial"/>
                <w:color w:val="1F497D"/>
                <w:sz w:val="20"/>
                <w:szCs w:val="20"/>
              </w:rPr>
              <w:t>iser les actions en favorisant d</w:t>
            </w:r>
            <w:r w:rsidRPr="00342ADB">
              <w:rPr>
                <w:rFonts w:ascii="Verdana" w:hAnsi="Verdana" w:cs="Arial"/>
                <w:color w:val="1F497D"/>
                <w:sz w:val="20"/>
                <w:szCs w:val="20"/>
              </w:rPr>
              <w:t>es collaborations inter</w:t>
            </w:r>
            <w:r w:rsidR="00C23069">
              <w:rPr>
                <w:rFonts w:ascii="Verdana" w:hAnsi="Verdana" w:cs="Arial"/>
                <w:color w:val="1F497D"/>
                <w:sz w:val="20"/>
                <w:szCs w:val="20"/>
              </w:rPr>
              <w:t>-</w:t>
            </w:r>
            <w:r w:rsidRPr="00342ADB">
              <w:rPr>
                <w:rFonts w:ascii="Verdana" w:hAnsi="Verdana" w:cs="Arial"/>
                <w:color w:val="1F497D"/>
                <w:sz w:val="20"/>
                <w:szCs w:val="20"/>
              </w:rPr>
              <w:t>acteurs</w:t>
            </w:r>
          </w:p>
        </w:tc>
      </w:tr>
      <w:tr w:rsidR="00611755" w:rsidRPr="000F1A71" w:rsidTr="73C42CC5">
        <w:trPr>
          <w:trHeight w:val="170"/>
        </w:trPr>
        <w:tc>
          <w:tcPr>
            <w:tcW w:w="2370" w:type="dxa"/>
            <w:shd w:val="clear" w:color="auto" w:fill="B8CCE4" w:themeFill="accent1" w:themeFillTint="66"/>
          </w:tcPr>
          <w:p w:rsidR="005F0153" w:rsidRPr="000F1A71" w:rsidRDefault="00611755" w:rsidP="00611755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 w:rsidRPr="000F1A71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 xml:space="preserve">Réalisations attendues </w:t>
            </w:r>
          </w:p>
          <w:p w:rsidR="00611755" w:rsidRPr="000F1A71" w:rsidRDefault="00611755" w:rsidP="005F0153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</w:p>
        </w:tc>
        <w:tc>
          <w:tcPr>
            <w:tcW w:w="8460" w:type="dxa"/>
            <w:shd w:val="clear" w:color="auto" w:fill="B8CCE4" w:themeFill="accent1" w:themeFillTint="66"/>
          </w:tcPr>
          <w:p w:rsidR="00DD76CD" w:rsidRDefault="00DD76CD" w:rsidP="009C178E">
            <w:pPr>
              <w:widowControl/>
              <w:numPr>
                <w:ilvl w:val="1"/>
                <w:numId w:val="8"/>
              </w:numPr>
              <w:suppressAutoHyphens w:val="0"/>
              <w:spacing w:before="120"/>
              <w:ind w:left="357" w:hanging="357"/>
              <w:jc w:val="both"/>
              <w:textAlignment w:val="auto"/>
              <w:rPr>
                <w:rFonts w:ascii="Verdana" w:hAnsi="Verdana" w:cs="Arial"/>
                <w:color w:val="1F497D"/>
                <w:sz w:val="20"/>
                <w:szCs w:val="20"/>
              </w:rPr>
            </w:pPr>
            <w:r w:rsidRPr="00864CBA">
              <w:rPr>
                <w:rFonts w:ascii="Verdana" w:hAnsi="Verdana" w:cs="Arial"/>
                <w:color w:val="1F497D"/>
                <w:sz w:val="20"/>
                <w:szCs w:val="20"/>
              </w:rPr>
              <w:t xml:space="preserve">Animation et professionnalisation des antennes </w:t>
            </w:r>
            <w:r>
              <w:rPr>
                <w:rFonts w:ascii="Verdana" w:hAnsi="Verdana" w:cs="Arial"/>
                <w:color w:val="1F497D"/>
                <w:sz w:val="20"/>
                <w:szCs w:val="20"/>
              </w:rPr>
              <w:t xml:space="preserve">emploi </w:t>
            </w:r>
            <w:r w:rsidRPr="00864CBA">
              <w:rPr>
                <w:rFonts w:ascii="Verdana" w:hAnsi="Verdana" w:cs="Arial"/>
                <w:color w:val="1F497D"/>
                <w:sz w:val="20"/>
                <w:szCs w:val="20"/>
              </w:rPr>
              <w:t>de proximité</w:t>
            </w:r>
            <w:r>
              <w:rPr>
                <w:rFonts w:ascii="Verdana" w:hAnsi="Verdana" w:cs="Arial"/>
                <w:color w:val="1F497D"/>
                <w:sz w:val="20"/>
                <w:szCs w:val="20"/>
              </w:rPr>
              <w:t xml:space="preserve"> (AEP)</w:t>
            </w:r>
            <w:r w:rsidRPr="00864CBA">
              <w:rPr>
                <w:rFonts w:ascii="Verdana" w:hAnsi="Verdana" w:cs="Arial"/>
                <w:color w:val="1F497D"/>
                <w:sz w:val="20"/>
                <w:szCs w:val="20"/>
              </w:rPr>
              <w:t xml:space="preserve"> en lien avec le Pôle Emploi, UD 37 et TMVL et les acteurs de la création reprise d’entreprise</w:t>
            </w:r>
            <w:r>
              <w:rPr>
                <w:rFonts w:ascii="Verdana" w:hAnsi="Verdana" w:cs="Arial"/>
                <w:color w:val="1F497D"/>
                <w:sz w:val="20"/>
                <w:szCs w:val="20"/>
              </w:rPr>
              <w:t xml:space="preserve"> pour une meilleure compréhension des modes d’intervention en vue d’un parcours cohérent</w:t>
            </w:r>
          </w:p>
          <w:p w:rsidR="00630B55" w:rsidRDefault="00854452" w:rsidP="009C178E">
            <w:pPr>
              <w:widowControl/>
              <w:numPr>
                <w:ilvl w:val="1"/>
                <w:numId w:val="8"/>
              </w:numPr>
              <w:suppressAutoHyphens w:val="0"/>
              <w:spacing w:before="120"/>
              <w:ind w:left="357" w:hanging="357"/>
              <w:jc w:val="both"/>
              <w:textAlignment w:val="auto"/>
              <w:rPr>
                <w:rFonts w:ascii="Verdana" w:hAnsi="Verdana" w:cs="Arial"/>
                <w:color w:val="1F497D"/>
                <w:sz w:val="20"/>
                <w:szCs w:val="20"/>
              </w:rPr>
            </w:pPr>
            <w:r w:rsidRPr="00864CBA">
              <w:rPr>
                <w:rFonts w:ascii="Verdana" w:hAnsi="Verdana" w:cs="Arial"/>
                <w:color w:val="1F497D"/>
                <w:sz w:val="20"/>
                <w:szCs w:val="20"/>
              </w:rPr>
              <w:t>Intégration des enjeux relatifs aux quartiers politique de la ville dans la convention locale SPRO</w:t>
            </w:r>
            <w:r w:rsidR="00920762">
              <w:rPr>
                <w:rFonts w:ascii="Verdana" w:hAnsi="Verdana" w:cs="Arial"/>
                <w:color w:val="1F497D"/>
                <w:sz w:val="20"/>
                <w:szCs w:val="20"/>
              </w:rPr>
              <w:t>,</w:t>
            </w:r>
          </w:p>
          <w:p w:rsidR="009C3F4D" w:rsidRDefault="009C3F4D" w:rsidP="009C178E">
            <w:pPr>
              <w:widowControl/>
              <w:numPr>
                <w:ilvl w:val="1"/>
                <w:numId w:val="8"/>
              </w:numPr>
              <w:suppressAutoHyphens w:val="0"/>
              <w:spacing w:before="120"/>
              <w:ind w:left="357" w:hanging="357"/>
              <w:jc w:val="both"/>
              <w:textAlignment w:val="auto"/>
              <w:rPr>
                <w:rFonts w:ascii="Verdana" w:hAnsi="Verdana" w:cs="Arial"/>
                <w:color w:val="1F497D"/>
                <w:sz w:val="20"/>
                <w:szCs w:val="20"/>
              </w:rPr>
            </w:pPr>
            <w:r>
              <w:rPr>
                <w:rFonts w:ascii="Verdana" w:hAnsi="Verdana" w:cs="Arial"/>
                <w:color w:val="1F497D"/>
                <w:sz w:val="20"/>
                <w:szCs w:val="20"/>
              </w:rPr>
              <w:t xml:space="preserve">Mobiliser l’appareil formatif, </w:t>
            </w:r>
            <w:r w:rsidR="00920762">
              <w:rPr>
                <w:rFonts w:ascii="Verdana" w:hAnsi="Verdana" w:cs="Arial"/>
                <w:color w:val="1F497D"/>
                <w:sz w:val="20"/>
                <w:szCs w:val="20"/>
              </w:rPr>
              <w:t>le cas échéant,</w:t>
            </w:r>
          </w:p>
          <w:p w:rsidR="00344A01" w:rsidRPr="00DD76CD" w:rsidRDefault="00342ADB" w:rsidP="00DD76CD">
            <w:pPr>
              <w:widowControl/>
              <w:numPr>
                <w:ilvl w:val="1"/>
                <w:numId w:val="8"/>
              </w:numPr>
              <w:suppressAutoHyphens w:val="0"/>
              <w:spacing w:before="120"/>
              <w:ind w:left="357" w:hanging="357"/>
              <w:jc w:val="both"/>
              <w:textAlignment w:val="auto"/>
              <w:rPr>
                <w:rFonts w:ascii="Verdana" w:hAnsi="Verdana" w:cs="Arial"/>
                <w:color w:val="1F497D"/>
                <w:sz w:val="20"/>
                <w:szCs w:val="20"/>
              </w:rPr>
            </w:pPr>
            <w:r w:rsidRPr="00DD76CD">
              <w:rPr>
                <w:rFonts w:ascii="Verdana" w:eastAsia="Verdana,Arial" w:hAnsi="Verdana" w:cs="Verdana,Arial"/>
                <w:color w:val="1F497D"/>
                <w:sz w:val="20"/>
                <w:szCs w:val="20"/>
              </w:rPr>
              <w:t>Assurer une plus grande représentation des publics résidant en QPV au sein de l’offre d’insertion globale</w:t>
            </w:r>
          </w:p>
          <w:p w:rsidR="009C3F4D" w:rsidRPr="009C3F4D" w:rsidRDefault="009C3F4D" w:rsidP="009C3F4D">
            <w:pPr>
              <w:widowControl/>
              <w:numPr>
                <w:ilvl w:val="1"/>
                <w:numId w:val="8"/>
              </w:numPr>
              <w:suppressAutoHyphens w:val="0"/>
              <w:spacing w:before="120"/>
              <w:ind w:left="357" w:hanging="357"/>
              <w:jc w:val="both"/>
              <w:textAlignment w:val="auto"/>
              <w:rPr>
                <w:rFonts w:ascii="Verdana" w:hAnsi="Verdana" w:cs="Arial"/>
                <w:color w:val="1F497D"/>
                <w:sz w:val="20"/>
                <w:szCs w:val="20"/>
              </w:rPr>
            </w:pPr>
            <w:r w:rsidRPr="009C3F4D">
              <w:rPr>
                <w:rFonts w:ascii="Verdana" w:hAnsi="Verdana" w:cs="Arial"/>
                <w:color w:val="1F497D"/>
                <w:sz w:val="20"/>
                <w:szCs w:val="20"/>
              </w:rPr>
              <w:t>Mettre en relation plus étroite les compétences existantes sur les territoires avec les besoins des entreprise</w:t>
            </w:r>
            <w:r>
              <w:rPr>
                <w:rFonts w:ascii="Verdana" w:hAnsi="Verdana" w:cs="Arial"/>
                <w:color w:val="1F497D"/>
                <w:sz w:val="20"/>
                <w:szCs w:val="20"/>
              </w:rPr>
              <w:t>s</w:t>
            </w:r>
          </w:p>
          <w:p w:rsidR="002B0994" w:rsidRPr="00864CBA" w:rsidRDefault="003C249F" w:rsidP="002B0994">
            <w:pPr>
              <w:widowControl/>
              <w:numPr>
                <w:ilvl w:val="1"/>
                <w:numId w:val="8"/>
              </w:numPr>
              <w:suppressAutoHyphens w:val="0"/>
              <w:spacing w:before="120"/>
              <w:ind w:left="357" w:hanging="357"/>
              <w:jc w:val="both"/>
              <w:textAlignment w:val="auto"/>
              <w:rPr>
                <w:rFonts w:ascii="Verdana" w:hAnsi="Verdana" w:cs="Arial"/>
                <w:color w:val="1F497D"/>
                <w:sz w:val="20"/>
                <w:szCs w:val="20"/>
              </w:rPr>
            </w:pPr>
            <w:r w:rsidRPr="00864CBA">
              <w:rPr>
                <w:rFonts w:ascii="Verdana" w:hAnsi="Verdana" w:cs="Arial"/>
                <w:color w:val="1F497D"/>
                <w:sz w:val="20"/>
                <w:szCs w:val="20"/>
              </w:rPr>
              <w:t>Actions de « cohésion sociale » contribuant à l’appétence pour un parcours d’insertion</w:t>
            </w:r>
            <w:r w:rsidR="00EB5C31" w:rsidRPr="00864CBA">
              <w:rPr>
                <w:rFonts w:ascii="Verdana" w:hAnsi="Verdana" w:cs="Arial"/>
                <w:color w:val="1F497D"/>
                <w:sz w:val="20"/>
                <w:szCs w:val="20"/>
              </w:rPr>
              <w:t>/création d’entreprise</w:t>
            </w:r>
            <w:r w:rsidRPr="00864CBA">
              <w:rPr>
                <w:rFonts w:ascii="Verdana" w:hAnsi="Verdana" w:cs="Arial"/>
                <w:color w:val="1F497D"/>
                <w:sz w:val="20"/>
                <w:szCs w:val="20"/>
              </w:rPr>
              <w:t xml:space="preserve"> et </w:t>
            </w:r>
            <w:r w:rsidR="004A602D">
              <w:rPr>
                <w:rFonts w:ascii="Verdana" w:hAnsi="Verdana" w:cs="Arial"/>
                <w:color w:val="1F497D"/>
                <w:sz w:val="20"/>
                <w:szCs w:val="20"/>
              </w:rPr>
              <w:t xml:space="preserve">en </w:t>
            </w:r>
            <w:r w:rsidRPr="00864CBA">
              <w:rPr>
                <w:rFonts w:ascii="Verdana" w:hAnsi="Verdana" w:cs="Arial"/>
                <w:color w:val="1F497D"/>
                <w:sz w:val="20"/>
                <w:szCs w:val="20"/>
              </w:rPr>
              <w:t xml:space="preserve">lien avec les structures d’accueil, </w:t>
            </w:r>
            <w:r w:rsidRPr="00864CBA">
              <w:rPr>
                <w:rFonts w:ascii="Verdana" w:hAnsi="Verdana" w:cs="Arial"/>
                <w:color w:val="1F497D"/>
                <w:sz w:val="20"/>
                <w:szCs w:val="20"/>
              </w:rPr>
              <w:lastRenderedPageBreak/>
              <w:t xml:space="preserve">d’orientation et d’accompagnement insertion / emploi. </w:t>
            </w:r>
          </w:p>
          <w:p w:rsidR="003C249F" w:rsidRPr="00920762" w:rsidRDefault="003C249F" w:rsidP="0029551A">
            <w:pPr>
              <w:widowControl/>
              <w:suppressAutoHyphens w:val="0"/>
              <w:spacing w:before="120"/>
              <w:ind w:left="357"/>
              <w:jc w:val="both"/>
              <w:textAlignment w:val="auto"/>
              <w:rPr>
                <w:rFonts w:ascii="Verdana" w:hAnsi="Verdana" w:cs="Arial"/>
                <w:color w:val="1F497D"/>
                <w:sz w:val="20"/>
                <w:szCs w:val="20"/>
              </w:rPr>
            </w:pPr>
          </w:p>
        </w:tc>
      </w:tr>
      <w:tr w:rsidR="00611755" w:rsidRPr="000F1A71" w:rsidTr="73C42CC5">
        <w:tc>
          <w:tcPr>
            <w:tcW w:w="2370" w:type="dxa"/>
            <w:shd w:val="clear" w:color="auto" w:fill="B8CCE4" w:themeFill="accent1" w:themeFillTint="66"/>
          </w:tcPr>
          <w:p w:rsidR="005F0153" w:rsidRPr="000F1A71" w:rsidRDefault="00611755" w:rsidP="00611755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 w:rsidRPr="000F1A71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lastRenderedPageBreak/>
              <w:t xml:space="preserve">Effets attendus </w:t>
            </w:r>
          </w:p>
          <w:p w:rsidR="00611755" w:rsidRPr="000F1A71" w:rsidRDefault="00611755" w:rsidP="005F0153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Cs/>
                <w:i/>
                <w:color w:val="1F497D"/>
                <w:sz w:val="20"/>
                <w:szCs w:val="20"/>
              </w:rPr>
            </w:pPr>
          </w:p>
        </w:tc>
        <w:tc>
          <w:tcPr>
            <w:tcW w:w="8460" w:type="dxa"/>
            <w:shd w:val="clear" w:color="auto" w:fill="B8CCE4" w:themeFill="accent1" w:themeFillTint="66"/>
          </w:tcPr>
          <w:p w:rsidR="00EF644C" w:rsidRDefault="00EF644C" w:rsidP="00C10DAA">
            <w:pPr>
              <w:widowControl/>
              <w:numPr>
                <w:ilvl w:val="1"/>
                <w:numId w:val="8"/>
              </w:numPr>
              <w:suppressAutoHyphens w:val="0"/>
              <w:ind w:left="357" w:hanging="357"/>
              <w:jc w:val="both"/>
              <w:textAlignment w:val="auto"/>
              <w:rPr>
                <w:rFonts w:ascii="Verdana" w:hAnsi="Verdana" w:cs="Arial"/>
                <w:color w:val="1F497D"/>
                <w:sz w:val="20"/>
                <w:szCs w:val="20"/>
              </w:rPr>
            </w:pPr>
            <w:r>
              <w:rPr>
                <w:rFonts w:ascii="Verdana" w:hAnsi="Verdana" w:cs="Arial"/>
                <w:color w:val="1F497D"/>
                <w:sz w:val="20"/>
                <w:szCs w:val="20"/>
              </w:rPr>
              <w:t>Permettre une meilleure compréhension des modes d’intervention et d’articulation de chaque acteur</w:t>
            </w:r>
          </w:p>
          <w:p w:rsidR="00611755" w:rsidRPr="000F1A71" w:rsidRDefault="003C249F" w:rsidP="00C10DAA">
            <w:pPr>
              <w:widowControl/>
              <w:numPr>
                <w:ilvl w:val="1"/>
                <w:numId w:val="8"/>
              </w:numPr>
              <w:suppressAutoHyphens w:val="0"/>
              <w:ind w:left="357" w:hanging="357"/>
              <w:jc w:val="both"/>
              <w:textAlignment w:val="auto"/>
              <w:rPr>
                <w:rFonts w:ascii="Verdana" w:hAnsi="Verdana" w:cs="Arial"/>
                <w:color w:val="1F497D"/>
                <w:sz w:val="20"/>
                <w:szCs w:val="20"/>
              </w:rPr>
            </w:pPr>
            <w:r w:rsidRPr="000F1A71">
              <w:rPr>
                <w:rFonts w:ascii="Verdana" w:hAnsi="Verdana" w:cs="Arial"/>
                <w:color w:val="1F497D"/>
                <w:sz w:val="20"/>
                <w:szCs w:val="20"/>
              </w:rPr>
              <w:t>La fréquentation des structures d’accueil emploi/ formation par les demandeurs d’emploi des quartiers est accrue</w:t>
            </w:r>
            <w:r w:rsidR="005150D7">
              <w:rPr>
                <w:rFonts w:ascii="Verdana" w:hAnsi="Verdana" w:cs="Arial"/>
                <w:color w:val="1F497D"/>
                <w:sz w:val="20"/>
                <w:szCs w:val="20"/>
              </w:rPr>
              <w:t>,</w:t>
            </w:r>
          </w:p>
          <w:p w:rsidR="003C249F" w:rsidRPr="000F1A71" w:rsidRDefault="003C249F" w:rsidP="00C10DAA">
            <w:pPr>
              <w:widowControl/>
              <w:numPr>
                <w:ilvl w:val="1"/>
                <w:numId w:val="8"/>
              </w:numPr>
              <w:suppressAutoHyphens w:val="0"/>
              <w:ind w:left="357" w:hanging="357"/>
              <w:jc w:val="both"/>
              <w:textAlignment w:val="auto"/>
              <w:rPr>
                <w:rFonts w:ascii="Verdana" w:hAnsi="Verdana" w:cs="Arial"/>
                <w:color w:val="1F497D"/>
                <w:sz w:val="20"/>
                <w:szCs w:val="20"/>
              </w:rPr>
            </w:pPr>
            <w:r w:rsidRPr="000F1A71">
              <w:rPr>
                <w:rFonts w:ascii="Verdana" w:hAnsi="Verdana" w:cs="Arial"/>
                <w:color w:val="1F497D"/>
                <w:sz w:val="20"/>
                <w:szCs w:val="20"/>
              </w:rPr>
              <w:t>Les demandeurs d’emploi des quartiers s’estiment mieux informés et mieux orientés</w:t>
            </w:r>
            <w:r w:rsidR="005150D7">
              <w:rPr>
                <w:rFonts w:ascii="Verdana" w:hAnsi="Verdana" w:cs="Arial"/>
                <w:color w:val="1F497D"/>
                <w:sz w:val="20"/>
                <w:szCs w:val="20"/>
              </w:rPr>
              <w:t>,</w:t>
            </w:r>
            <w:r w:rsidR="00962703">
              <w:rPr>
                <w:rFonts w:ascii="Verdana" w:hAnsi="Verdana" w:cs="Arial"/>
                <w:color w:val="1F497D"/>
                <w:sz w:val="20"/>
                <w:szCs w:val="20"/>
              </w:rPr>
              <w:t xml:space="preserve"> y compris sur le champ de la création d’entreprise, </w:t>
            </w:r>
          </w:p>
          <w:p w:rsidR="003C249F" w:rsidRDefault="003C249F" w:rsidP="00C10DAA">
            <w:pPr>
              <w:widowControl/>
              <w:numPr>
                <w:ilvl w:val="1"/>
                <w:numId w:val="8"/>
              </w:numPr>
              <w:suppressAutoHyphens w:val="0"/>
              <w:ind w:left="357" w:hanging="357"/>
              <w:jc w:val="both"/>
              <w:textAlignment w:val="auto"/>
              <w:rPr>
                <w:rFonts w:ascii="Verdana" w:hAnsi="Verdana" w:cs="Arial"/>
                <w:color w:val="1F497D"/>
                <w:sz w:val="20"/>
                <w:szCs w:val="20"/>
              </w:rPr>
            </w:pPr>
            <w:r w:rsidRPr="000F1A71">
              <w:rPr>
                <w:rFonts w:ascii="Verdana" w:hAnsi="Verdana" w:cs="Arial"/>
                <w:color w:val="1F497D"/>
                <w:sz w:val="20"/>
                <w:szCs w:val="20"/>
              </w:rPr>
              <w:t xml:space="preserve">Les acteurs de quartiers impliqués sur la cohésion sociale s’impliquent sur </w:t>
            </w:r>
            <w:r w:rsidR="00541302" w:rsidRPr="000F1A71">
              <w:rPr>
                <w:rFonts w:ascii="Verdana" w:hAnsi="Verdana" w:cs="Arial"/>
                <w:color w:val="1F497D"/>
                <w:sz w:val="20"/>
                <w:szCs w:val="20"/>
              </w:rPr>
              <w:t>les enjeux d’</w:t>
            </w:r>
            <w:r w:rsidRPr="000F1A71">
              <w:rPr>
                <w:rFonts w:ascii="Verdana" w:hAnsi="Verdana" w:cs="Arial"/>
                <w:color w:val="1F497D"/>
                <w:sz w:val="20"/>
                <w:szCs w:val="20"/>
              </w:rPr>
              <w:t xml:space="preserve">orientation vers les structures emploi/ formation et </w:t>
            </w:r>
            <w:r w:rsidR="00FE04A9" w:rsidRPr="000F1A71">
              <w:rPr>
                <w:rFonts w:ascii="Verdana" w:hAnsi="Verdana" w:cs="Arial"/>
                <w:color w:val="1F497D"/>
                <w:sz w:val="20"/>
                <w:szCs w:val="20"/>
              </w:rPr>
              <w:t>de mobilisation</w:t>
            </w:r>
            <w:r w:rsidRPr="000F1A71">
              <w:rPr>
                <w:rFonts w:ascii="Verdana" w:hAnsi="Verdana" w:cs="Arial"/>
                <w:color w:val="1F497D"/>
                <w:sz w:val="20"/>
                <w:szCs w:val="20"/>
              </w:rPr>
              <w:t xml:space="preserve"> des demandeurs d’emploi </w:t>
            </w:r>
            <w:r w:rsidR="00FE04A9" w:rsidRPr="000F1A71">
              <w:rPr>
                <w:rFonts w:ascii="Verdana" w:hAnsi="Verdana" w:cs="Arial"/>
                <w:color w:val="1F497D"/>
                <w:sz w:val="20"/>
                <w:szCs w:val="20"/>
              </w:rPr>
              <w:t xml:space="preserve">vers </w:t>
            </w:r>
            <w:r w:rsidRPr="000F1A71">
              <w:rPr>
                <w:rFonts w:ascii="Verdana" w:hAnsi="Verdana" w:cs="Arial"/>
                <w:color w:val="1F497D"/>
                <w:sz w:val="20"/>
                <w:szCs w:val="20"/>
              </w:rPr>
              <w:t xml:space="preserve">un parcours </w:t>
            </w:r>
            <w:r w:rsidR="00FE04A9" w:rsidRPr="000F1A71">
              <w:rPr>
                <w:rFonts w:ascii="Verdana" w:hAnsi="Verdana" w:cs="Arial"/>
                <w:color w:val="1F497D"/>
                <w:sz w:val="20"/>
                <w:szCs w:val="20"/>
              </w:rPr>
              <w:t xml:space="preserve">d’insertion </w:t>
            </w:r>
            <w:r w:rsidRPr="000F1A71">
              <w:rPr>
                <w:rFonts w:ascii="Verdana" w:hAnsi="Verdana" w:cs="Arial"/>
                <w:color w:val="1F497D"/>
                <w:sz w:val="20"/>
                <w:szCs w:val="20"/>
              </w:rPr>
              <w:t>professionnel</w:t>
            </w:r>
            <w:r w:rsidR="00FE04A9" w:rsidRPr="000F1A71">
              <w:rPr>
                <w:rFonts w:ascii="Verdana" w:hAnsi="Verdana" w:cs="Arial"/>
                <w:color w:val="1F497D"/>
                <w:sz w:val="20"/>
                <w:szCs w:val="20"/>
              </w:rPr>
              <w:t>le</w:t>
            </w:r>
          </w:p>
          <w:p w:rsidR="005150D7" w:rsidRPr="000F1A71" w:rsidRDefault="005150D7" w:rsidP="00C10DAA">
            <w:pPr>
              <w:widowControl/>
              <w:numPr>
                <w:ilvl w:val="1"/>
                <w:numId w:val="8"/>
              </w:numPr>
              <w:suppressAutoHyphens w:val="0"/>
              <w:ind w:left="357" w:hanging="357"/>
              <w:jc w:val="both"/>
              <w:textAlignment w:val="auto"/>
              <w:rPr>
                <w:rFonts w:ascii="Verdana" w:hAnsi="Verdana" w:cs="Arial"/>
                <w:color w:val="1F497D"/>
                <w:sz w:val="20"/>
                <w:szCs w:val="20"/>
              </w:rPr>
            </w:pPr>
            <w:r>
              <w:rPr>
                <w:rFonts w:ascii="Verdana" w:hAnsi="Verdana" w:cs="Arial"/>
                <w:color w:val="1F497D"/>
                <w:sz w:val="20"/>
                <w:szCs w:val="20"/>
              </w:rPr>
              <w:t>Développer un parcours professionnel</w:t>
            </w:r>
            <w:r w:rsidR="00EF644C">
              <w:rPr>
                <w:rFonts w:ascii="Verdana" w:hAnsi="Verdana" w:cs="Arial"/>
                <w:color w:val="1F497D"/>
                <w:sz w:val="20"/>
                <w:szCs w:val="20"/>
              </w:rPr>
              <w:t xml:space="preserve"> cohérent</w:t>
            </w:r>
            <w:r>
              <w:rPr>
                <w:rFonts w:ascii="Verdana" w:hAnsi="Verdana" w:cs="Arial"/>
                <w:color w:val="1F497D"/>
                <w:sz w:val="20"/>
                <w:szCs w:val="20"/>
              </w:rPr>
              <w:t xml:space="preserve"> et participer au développement économique du territoir</w:t>
            </w:r>
            <w:r w:rsidR="007324C8">
              <w:rPr>
                <w:rFonts w:ascii="Verdana" w:hAnsi="Verdana" w:cs="Arial"/>
                <w:color w:val="1F497D"/>
                <w:sz w:val="20"/>
                <w:szCs w:val="20"/>
              </w:rPr>
              <w:t>e</w:t>
            </w:r>
          </w:p>
        </w:tc>
      </w:tr>
      <w:tr w:rsidR="00611755" w:rsidRPr="000F1A71" w:rsidTr="73C42CC5">
        <w:tc>
          <w:tcPr>
            <w:tcW w:w="2370" w:type="dxa"/>
            <w:shd w:val="clear" w:color="auto" w:fill="B8CCE4" w:themeFill="accent1" w:themeFillTint="66"/>
          </w:tcPr>
          <w:p w:rsidR="00611755" w:rsidRPr="000F1A71" w:rsidRDefault="00611755" w:rsidP="00611755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 w:rsidRPr="000F1A71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Echelle Territoriale</w:t>
            </w:r>
          </w:p>
          <w:p w:rsidR="00611755" w:rsidRPr="000F1A71" w:rsidRDefault="00611755" w:rsidP="00611755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Cs/>
                <w:i/>
                <w:color w:val="1F497D"/>
                <w:sz w:val="20"/>
                <w:szCs w:val="20"/>
              </w:rPr>
            </w:pPr>
          </w:p>
        </w:tc>
        <w:tc>
          <w:tcPr>
            <w:tcW w:w="8460" w:type="dxa"/>
            <w:shd w:val="clear" w:color="auto" w:fill="B8CCE4" w:themeFill="accent1" w:themeFillTint="66"/>
          </w:tcPr>
          <w:p w:rsidR="00611755" w:rsidRPr="000F1A71" w:rsidRDefault="00FE12A3" w:rsidP="00FE12A3">
            <w:pPr>
              <w:widowControl/>
              <w:numPr>
                <w:ilvl w:val="1"/>
                <w:numId w:val="8"/>
              </w:numPr>
              <w:suppressAutoHyphens w:val="0"/>
              <w:spacing w:before="120"/>
              <w:ind w:left="357" w:hanging="357"/>
              <w:jc w:val="both"/>
              <w:textAlignment w:val="auto"/>
              <w:rPr>
                <w:rFonts w:ascii="Verdana" w:hAnsi="Verdana" w:cs="Arial"/>
                <w:color w:val="1F497D"/>
                <w:sz w:val="20"/>
                <w:szCs w:val="20"/>
              </w:rPr>
            </w:pPr>
            <w:r w:rsidRPr="000F1A71">
              <w:rPr>
                <w:rFonts w:ascii="Verdana" w:hAnsi="Verdana" w:cs="Arial"/>
                <w:color w:val="1F497D"/>
                <w:sz w:val="20"/>
                <w:szCs w:val="20"/>
              </w:rPr>
              <w:t xml:space="preserve">Echelle </w:t>
            </w:r>
            <w:r w:rsidR="007324C8">
              <w:rPr>
                <w:rFonts w:ascii="Verdana" w:hAnsi="Verdana" w:cs="Arial"/>
                <w:color w:val="1F497D"/>
                <w:sz w:val="20"/>
                <w:szCs w:val="20"/>
              </w:rPr>
              <w:t>métropolitaine</w:t>
            </w:r>
            <w:r w:rsidR="007324C8" w:rsidRPr="000F1A71">
              <w:rPr>
                <w:rFonts w:ascii="Verdana" w:hAnsi="Verdana" w:cs="Arial"/>
                <w:color w:val="1F497D"/>
                <w:sz w:val="20"/>
                <w:szCs w:val="20"/>
              </w:rPr>
              <w:t> </w:t>
            </w:r>
            <w:r w:rsidRPr="000F1A71">
              <w:rPr>
                <w:rFonts w:ascii="Verdana" w:hAnsi="Verdana" w:cs="Arial"/>
                <w:color w:val="1F497D"/>
                <w:sz w:val="20"/>
                <w:szCs w:val="20"/>
              </w:rPr>
              <w:t xml:space="preserve">: convention SPRO, animation des antennes </w:t>
            </w:r>
          </w:p>
          <w:p w:rsidR="00FE12A3" w:rsidRPr="000F1A71" w:rsidRDefault="00FE12A3" w:rsidP="001F1007">
            <w:pPr>
              <w:widowControl/>
              <w:numPr>
                <w:ilvl w:val="1"/>
                <w:numId w:val="8"/>
              </w:numPr>
              <w:suppressAutoHyphens w:val="0"/>
              <w:spacing w:before="120"/>
              <w:ind w:left="357" w:hanging="357"/>
              <w:jc w:val="both"/>
              <w:textAlignment w:val="auto"/>
              <w:rPr>
                <w:rFonts w:ascii="Verdana" w:hAnsi="Verdana" w:cs="Arial"/>
                <w:color w:val="1F497D"/>
                <w:sz w:val="20"/>
                <w:szCs w:val="20"/>
              </w:rPr>
            </w:pPr>
            <w:r w:rsidRPr="000F1A71">
              <w:rPr>
                <w:rFonts w:ascii="Verdana" w:hAnsi="Verdana" w:cs="Arial"/>
                <w:color w:val="1F497D"/>
                <w:sz w:val="20"/>
                <w:szCs w:val="20"/>
              </w:rPr>
              <w:t>Echelle quartier : actions de communication et actions de cohésion sociale</w:t>
            </w:r>
          </w:p>
        </w:tc>
      </w:tr>
      <w:tr w:rsidR="00611755" w:rsidRPr="000F1A71" w:rsidTr="73C42CC5">
        <w:tc>
          <w:tcPr>
            <w:tcW w:w="2370" w:type="dxa"/>
            <w:shd w:val="clear" w:color="auto" w:fill="B8CCE4" w:themeFill="accent1" w:themeFillTint="66"/>
          </w:tcPr>
          <w:p w:rsidR="00611755" w:rsidRPr="000F1A71" w:rsidRDefault="00D87FB9" w:rsidP="00C10DAA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Cs/>
                <w:i/>
                <w:color w:val="1F497D"/>
                <w:sz w:val="20"/>
                <w:szCs w:val="20"/>
              </w:rPr>
            </w:pPr>
            <w:r w:rsidRPr="000F1A71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Animateur</w:t>
            </w:r>
          </w:p>
        </w:tc>
        <w:tc>
          <w:tcPr>
            <w:tcW w:w="8460" w:type="dxa"/>
            <w:shd w:val="clear" w:color="auto" w:fill="B8CCE4" w:themeFill="accent1" w:themeFillTint="66"/>
          </w:tcPr>
          <w:p w:rsidR="00611755" w:rsidRPr="000F1A71" w:rsidRDefault="00CF557E" w:rsidP="00EF644C">
            <w:pPr>
              <w:widowControl/>
              <w:numPr>
                <w:ilvl w:val="1"/>
                <w:numId w:val="8"/>
              </w:numPr>
              <w:suppressAutoHyphens w:val="0"/>
              <w:spacing w:before="120"/>
              <w:ind w:left="357" w:hanging="357"/>
              <w:jc w:val="both"/>
              <w:textAlignment w:val="auto"/>
              <w:rPr>
                <w:rFonts w:ascii="Verdana" w:eastAsia="Verdana,Arial" w:hAnsi="Verdana" w:cs="Verdana,Arial"/>
                <w:color w:val="1F497D"/>
                <w:sz w:val="20"/>
                <w:szCs w:val="20"/>
              </w:rPr>
            </w:pPr>
            <w:r>
              <w:rPr>
                <w:rFonts w:ascii="Verdana" w:eastAsia="Verdana,Arial" w:hAnsi="Verdana" w:cs="Verdana,Arial"/>
                <w:color w:val="1F497D" w:themeColor="text2"/>
                <w:sz w:val="20"/>
                <w:szCs w:val="20"/>
              </w:rPr>
              <w:t xml:space="preserve">UD 37 </w:t>
            </w:r>
            <w:r w:rsidR="73C42CC5" w:rsidRPr="000F1A71">
              <w:rPr>
                <w:rFonts w:ascii="Verdana" w:eastAsia="Verdana,Arial" w:hAnsi="Verdana" w:cs="Verdana,Arial"/>
                <w:color w:val="1F497D" w:themeColor="text2"/>
                <w:sz w:val="20"/>
                <w:szCs w:val="20"/>
              </w:rPr>
              <w:t>de la DIRECCTE</w:t>
            </w:r>
            <w:r>
              <w:rPr>
                <w:rFonts w:ascii="Verdana" w:eastAsia="Verdana,Arial" w:hAnsi="Verdana" w:cs="Verdana,Arial"/>
                <w:color w:val="1F497D" w:themeColor="text2"/>
                <w:sz w:val="20"/>
                <w:szCs w:val="20"/>
              </w:rPr>
              <w:t xml:space="preserve"> </w:t>
            </w:r>
            <w:r w:rsidR="00EF644C">
              <w:rPr>
                <w:rFonts w:ascii="Verdana" w:eastAsia="Verdana,Arial" w:hAnsi="Verdana" w:cs="Verdana,Arial"/>
                <w:color w:val="1F497D" w:themeColor="text2"/>
                <w:sz w:val="20"/>
                <w:szCs w:val="20"/>
              </w:rPr>
              <w:t xml:space="preserve">/ TMVL et </w:t>
            </w:r>
            <w:r w:rsidR="00DC60F1">
              <w:rPr>
                <w:rFonts w:ascii="Verdana" w:eastAsia="Verdana,Arial" w:hAnsi="Verdana" w:cs="Verdana,Arial"/>
                <w:color w:val="1F497D" w:themeColor="text2"/>
                <w:sz w:val="20"/>
                <w:szCs w:val="20"/>
              </w:rPr>
              <w:t xml:space="preserve">le </w:t>
            </w:r>
            <w:r w:rsidR="00EF644C">
              <w:rPr>
                <w:rFonts w:ascii="Verdana" w:eastAsia="Verdana,Arial" w:hAnsi="Verdana" w:cs="Verdana,Arial"/>
                <w:color w:val="1F497D" w:themeColor="text2"/>
                <w:sz w:val="20"/>
                <w:szCs w:val="20"/>
              </w:rPr>
              <w:t xml:space="preserve">SPE </w:t>
            </w:r>
          </w:p>
        </w:tc>
      </w:tr>
      <w:tr w:rsidR="00611755" w:rsidRPr="000F1A71" w:rsidTr="73C42CC5">
        <w:trPr>
          <w:trHeight w:val="95"/>
        </w:trPr>
        <w:tc>
          <w:tcPr>
            <w:tcW w:w="2370" w:type="dxa"/>
            <w:shd w:val="clear" w:color="auto" w:fill="B8CCE4" w:themeFill="accent1" w:themeFillTint="66"/>
          </w:tcPr>
          <w:p w:rsidR="00611755" w:rsidRPr="000F1A71" w:rsidRDefault="00611755" w:rsidP="00611755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 w:rsidRPr="000F1A71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Partenaires mobilisables (dont habitants)</w:t>
            </w:r>
          </w:p>
          <w:p w:rsidR="00611755" w:rsidRPr="000F1A71" w:rsidRDefault="00611755" w:rsidP="001F1007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Cs/>
                <w:i/>
                <w:color w:val="1F497D"/>
                <w:sz w:val="20"/>
                <w:szCs w:val="20"/>
              </w:rPr>
            </w:pPr>
            <w:r w:rsidRPr="000F1A71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Dispositifs mobilisables</w:t>
            </w:r>
          </w:p>
        </w:tc>
        <w:tc>
          <w:tcPr>
            <w:tcW w:w="8460" w:type="dxa"/>
            <w:shd w:val="clear" w:color="auto" w:fill="B8CCE4" w:themeFill="accent1" w:themeFillTint="66"/>
          </w:tcPr>
          <w:p w:rsidR="00AE0C2F" w:rsidRPr="000F1A71" w:rsidRDefault="73C42CC5" w:rsidP="00C10DAA">
            <w:pPr>
              <w:numPr>
                <w:ilvl w:val="0"/>
                <w:numId w:val="12"/>
              </w:numPr>
              <w:ind w:left="390" w:hanging="390"/>
              <w:jc w:val="both"/>
              <w:rPr>
                <w:rFonts w:ascii="Verdana" w:eastAsia="Verdana,Arial" w:hAnsi="Verdana" w:cs="Verdana,Arial"/>
                <w:color w:val="1F497D" w:themeColor="text2"/>
                <w:sz w:val="20"/>
                <w:szCs w:val="20"/>
              </w:rPr>
            </w:pPr>
            <w:r w:rsidRPr="000F1A71">
              <w:rPr>
                <w:rFonts w:ascii="Verdana" w:eastAsia="Verdana,Arial" w:hAnsi="Verdana" w:cs="Verdana,Arial"/>
                <w:color w:val="1F497D" w:themeColor="text2"/>
                <w:sz w:val="20"/>
                <w:szCs w:val="20"/>
              </w:rPr>
              <w:t xml:space="preserve">Membres du groupe thématique emploi et en particulier Pole Emploi, </w:t>
            </w:r>
            <w:r w:rsidR="001F1007">
              <w:rPr>
                <w:rFonts w:ascii="Verdana" w:eastAsia="Verdana,Arial" w:hAnsi="Verdana" w:cs="Verdana,Arial"/>
                <w:color w:val="1F497D" w:themeColor="text2"/>
                <w:sz w:val="20"/>
                <w:szCs w:val="20"/>
              </w:rPr>
              <w:t>Mission Locale</w:t>
            </w:r>
            <w:r w:rsidRPr="000F1A71">
              <w:rPr>
                <w:rFonts w:ascii="Verdana" w:eastAsia="Verdana,Arial" w:hAnsi="Verdana" w:cs="Verdana,Arial"/>
                <w:color w:val="1F497D" w:themeColor="text2"/>
                <w:sz w:val="20"/>
                <w:szCs w:val="20"/>
              </w:rPr>
              <w:t>, CAP Emploi, PLIE, référents du C</w:t>
            </w:r>
            <w:r w:rsidR="001F1007">
              <w:rPr>
                <w:rFonts w:ascii="Verdana" w:eastAsia="Verdana,Arial" w:hAnsi="Verdana" w:cs="Verdana,Arial"/>
                <w:color w:val="1F497D" w:themeColor="text2"/>
                <w:sz w:val="20"/>
                <w:szCs w:val="20"/>
              </w:rPr>
              <w:t xml:space="preserve">onseil </w:t>
            </w:r>
            <w:r w:rsidRPr="000F1A71">
              <w:rPr>
                <w:rFonts w:ascii="Verdana" w:eastAsia="Verdana,Arial" w:hAnsi="Verdana" w:cs="Verdana,Arial"/>
                <w:color w:val="1F497D" w:themeColor="text2"/>
                <w:sz w:val="20"/>
                <w:szCs w:val="20"/>
              </w:rPr>
              <w:t>D</w:t>
            </w:r>
            <w:r w:rsidR="001F1007">
              <w:rPr>
                <w:rFonts w:ascii="Verdana" w:eastAsia="Verdana,Arial" w:hAnsi="Verdana" w:cs="Verdana,Arial"/>
                <w:color w:val="1F497D" w:themeColor="text2"/>
                <w:sz w:val="20"/>
                <w:szCs w:val="20"/>
              </w:rPr>
              <w:t xml:space="preserve">épartemental </w:t>
            </w:r>
            <w:r w:rsidRPr="000F1A71">
              <w:rPr>
                <w:rFonts w:ascii="Verdana" w:eastAsia="Verdana,Arial" w:hAnsi="Verdana" w:cs="Verdana,Arial"/>
                <w:color w:val="1F497D" w:themeColor="text2"/>
                <w:sz w:val="20"/>
                <w:szCs w:val="20"/>
              </w:rPr>
              <w:t>37</w:t>
            </w:r>
            <w:r w:rsidR="00EF644C">
              <w:rPr>
                <w:rFonts w:ascii="Verdana" w:eastAsia="Verdana,Arial" w:hAnsi="Verdana" w:cs="Verdana,Arial"/>
                <w:color w:val="1F497D" w:themeColor="text2"/>
                <w:sz w:val="20"/>
                <w:szCs w:val="20"/>
              </w:rPr>
              <w:t>, conseil Régional</w:t>
            </w:r>
            <w:r w:rsidRPr="000F1A71">
              <w:rPr>
                <w:rFonts w:ascii="Verdana" w:eastAsia="Verdana,Arial" w:hAnsi="Verdana" w:cs="Verdana,Arial"/>
                <w:color w:val="1F497D" w:themeColor="text2"/>
                <w:sz w:val="20"/>
                <w:szCs w:val="20"/>
              </w:rPr>
              <w:t xml:space="preserve"> </w:t>
            </w:r>
          </w:p>
          <w:p w:rsidR="00BC431F" w:rsidRPr="008C1055" w:rsidRDefault="00BC431F" w:rsidP="00C10DAA">
            <w:pPr>
              <w:pStyle w:val="Paragraphedeliste"/>
              <w:widowControl w:val="0"/>
              <w:numPr>
                <w:ilvl w:val="0"/>
                <w:numId w:val="12"/>
              </w:numPr>
              <w:tabs>
                <w:tab w:val="left" w:pos="1440"/>
              </w:tabs>
              <w:suppressAutoHyphens/>
              <w:spacing w:line="240" w:lineRule="auto"/>
              <w:ind w:left="390" w:hanging="390"/>
              <w:rPr>
                <w:rFonts w:cs="Arial"/>
                <w:color w:val="1F497D"/>
                <w:sz w:val="20"/>
                <w:szCs w:val="20"/>
              </w:rPr>
            </w:pPr>
            <w:r w:rsidRPr="008C1055">
              <w:rPr>
                <w:rFonts w:cs="Arial"/>
                <w:color w:val="1F497D"/>
                <w:sz w:val="20"/>
                <w:szCs w:val="20"/>
              </w:rPr>
              <w:t xml:space="preserve">Ensemble des opérateurs participant à l’offre d’insertion </w:t>
            </w:r>
            <w:r w:rsidRPr="00255E4D">
              <w:rPr>
                <w:color w:val="1F497D" w:themeColor="text2"/>
                <w:sz w:val="20"/>
                <w:szCs w:val="20"/>
              </w:rPr>
              <w:t>et les acteurs de la création</w:t>
            </w:r>
            <w:r>
              <w:rPr>
                <w:color w:val="1F497D" w:themeColor="text2"/>
                <w:sz w:val="20"/>
                <w:szCs w:val="20"/>
              </w:rPr>
              <w:t>/reprise</w:t>
            </w:r>
            <w:r w:rsidRPr="00255E4D">
              <w:rPr>
                <w:color w:val="1F497D" w:themeColor="text2"/>
                <w:sz w:val="20"/>
                <w:szCs w:val="20"/>
              </w:rPr>
              <w:t xml:space="preserve"> d’entreprises</w:t>
            </w:r>
          </w:p>
          <w:p w:rsidR="00BC431F" w:rsidRDefault="00EF644C" w:rsidP="00C10DAA">
            <w:pPr>
              <w:numPr>
                <w:ilvl w:val="0"/>
                <w:numId w:val="12"/>
              </w:numPr>
              <w:ind w:left="390" w:hanging="390"/>
              <w:jc w:val="both"/>
              <w:rPr>
                <w:rFonts w:ascii="Verdana" w:eastAsia="Verdana,Arial" w:hAnsi="Verdana" w:cs="Verdana,Arial"/>
                <w:color w:val="1F497D" w:themeColor="text2"/>
                <w:sz w:val="20"/>
                <w:szCs w:val="20"/>
              </w:rPr>
            </w:pPr>
            <w:r>
              <w:rPr>
                <w:rFonts w:ascii="Verdana" w:eastAsia="Verdana,Arial" w:hAnsi="Verdana" w:cs="Verdana,Arial"/>
                <w:color w:val="1F497D" w:themeColor="text2"/>
                <w:sz w:val="20"/>
                <w:szCs w:val="20"/>
              </w:rPr>
              <w:t>Appareil formatif</w:t>
            </w:r>
          </w:p>
          <w:p w:rsidR="00255E4D" w:rsidRPr="000F1A71" w:rsidRDefault="00EF644C" w:rsidP="00C10DAA">
            <w:pPr>
              <w:numPr>
                <w:ilvl w:val="0"/>
                <w:numId w:val="12"/>
              </w:numPr>
              <w:spacing w:before="120" w:after="160"/>
              <w:ind w:left="390" w:hanging="390"/>
              <w:jc w:val="both"/>
              <w:rPr>
                <w:rFonts w:ascii="Verdana" w:eastAsia="Verdana,Arial" w:hAnsi="Verdana" w:cs="Verdana,Arial"/>
                <w:color w:val="1F497D" w:themeColor="text2"/>
                <w:sz w:val="20"/>
                <w:szCs w:val="20"/>
              </w:rPr>
            </w:pPr>
            <w:r>
              <w:rPr>
                <w:rFonts w:ascii="Verdana" w:eastAsia="Verdana,Arial" w:hAnsi="Verdana" w:cs="Verdana,Arial"/>
                <w:color w:val="1F497D" w:themeColor="text2"/>
                <w:sz w:val="20"/>
                <w:szCs w:val="20"/>
              </w:rPr>
              <w:t>Représentation</w:t>
            </w:r>
            <w:r w:rsidR="00C23069">
              <w:rPr>
                <w:rFonts w:ascii="Verdana" w:eastAsia="Verdana,Arial" w:hAnsi="Verdana" w:cs="Verdana,Arial"/>
                <w:color w:val="1F497D" w:themeColor="text2"/>
                <w:sz w:val="20"/>
                <w:szCs w:val="20"/>
              </w:rPr>
              <w:t>s</w:t>
            </w:r>
            <w:r>
              <w:rPr>
                <w:rFonts w:ascii="Verdana" w:eastAsia="Verdana,Arial" w:hAnsi="Verdana" w:cs="Verdana,Arial"/>
                <w:color w:val="1F497D" w:themeColor="text2"/>
                <w:sz w:val="20"/>
                <w:szCs w:val="20"/>
              </w:rPr>
              <w:t xml:space="preserve"> des entreprises</w:t>
            </w:r>
          </w:p>
        </w:tc>
      </w:tr>
      <w:tr w:rsidR="00611755" w:rsidRPr="000F1A71" w:rsidTr="73C42CC5">
        <w:tc>
          <w:tcPr>
            <w:tcW w:w="2370" w:type="dxa"/>
            <w:shd w:val="clear" w:color="auto" w:fill="B8CCE4" w:themeFill="accent1" w:themeFillTint="66"/>
          </w:tcPr>
          <w:p w:rsidR="00611755" w:rsidRPr="000F1A71" w:rsidRDefault="00611755" w:rsidP="001F1007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 w:rsidRPr="000F1A71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Financements mobilisables</w:t>
            </w:r>
          </w:p>
        </w:tc>
        <w:tc>
          <w:tcPr>
            <w:tcW w:w="8460" w:type="dxa"/>
            <w:shd w:val="clear" w:color="auto" w:fill="B8CCE4" w:themeFill="accent1" w:themeFillTint="66"/>
          </w:tcPr>
          <w:p w:rsidR="00AE0C2F" w:rsidRPr="000F1A71" w:rsidRDefault="73C42CC5" w:rsidP="73C42CC5">
            <w:pPr>
              <w:numPr>
                <w:ilvl w:val="0"/>
                <w:numId w:val="13"/>
              </w:numPr>
              <w:spacing w:line="259" w:lineRule="auto"/>
              <w:ind w:left="357"/>
              <w:jc w:val="both"/>
              <w:rPr>
                <w:rFonts w:ascii="Verdana" w:eastAsia="Verdana,Arial" w:hAnsi="Verdana" w:cs="Verdana,Arial"/>
                <w:color w:val="1F497D" w:themeColor="text2"/>
                <w:sz w:val="20"/>
                <w:szCs w:val="20"/>
              </w:rPr>
            </w:pPr>
            <w:r w:rsidRPr="000F1A71">
              <w:rPr>
                <w:rFonts w:ascii="Verdana" w:eastAsia="Verdana,Arial" w:hAnsi="Verdana" w:cs="Verdana,Arial"/>
                <w:color w:val="1F497D" w:themeColor="text2"/>
                <w:sz w:val="20"/>
                <w:szCs w:val="20"/>
              </w:rPr>
              <w:t>Droit commun</w:t>
            </w:r>
          </w:p>
          <w:p w:rsidR="00611755" w:rsidRDefault="73C42CC5" w:rsidP="73C42CC5">
            <w:pPr>
              <w:numPr>
                <w:ilvl w:val="0"/>
                <w:numId w:val="13"/>
              </w:numPr>
              <w:spacing w:line="259" w:lineRule="auto"/>
              <w:ind w:left="357"/>
              <w:jc w:val="both"/>
              <w:rPr>
                <w:rFonts w:ascii="Verdana" w:eastAsia="Verdana,Arial" w:hAnsi="Verdana" w:cs="Verdana,Arial"/>
                <w:color w:val="1F497D" w:themeColor="text2"/>
                <w:sz w:val="20"/>
                <w:szCs w:val="20"/>
              </w:rPr>
            </w:pPr>
            <w:r w:rsidRPr="000F1A71">
              <w:rPr>
                <w:rFonts w:ascii="Verdana" w:eastAsia="Verdana,Arial" w:hAnsi="Verdana" w:cs="Verdana,Arial"/>
                <w:color w:val="1F497D" w:themeColor="text2"/>
                <w:sz w:val="20"/>
                <w:szCs w:val="20"/>
              </w:rPr>
              <w:t>Crédit spécifique politique de la ville</w:t>
            </w:r>
          </w:p>
          <w:p w:rsidR="00255E4D" w:rsidRPr="000F1A71" w:rsidRDefault="00255E4D" w:rsidP="00C10DAA">
            <w:pPr>
              <w:numPr>
                <w:ilvl w:val="0"/>
                <w:numId w:val="13"/>
              </w:numPr>
              <w:spacing w:line="259" w:lineRule="auto"/>
              <w:ind w:left="357"/>
              <w:jc w:val="both"/>
              <w:rPr>
                <w:rFonts w:ascii="Verdana" w:eastAsia="Verdana,Arial" w:hAnsi="Verdana" w:cs="Verdana,Arial"/>
                <w:color w:val="1F497D" w:themeColor="text2"/>
                <w:sz w:val="20"/>
                <w:szCs w:val="20"/>
              </w:rPr>
            </w:pPr>
            <w:r>
              <w:rPr>
                <w:rFonts w:ascii="Verdana" w:eastAsia="Verdana,Arial" w:hAnsi="Verdana" w:cs="Verdana,Arial"/>
                <w:color w:val="1F497D" w:themeColor="text2"/>
                <w:sz w:val="20"/>
                <w:szCs w:val="20"/>
              </w:rPr>
              <w:t xml:space="preserve">Dispositifs </w:t>
            </w:r>
            <w:r w:rsidR="00222DDA">
              <w:rPr>
                <w:rFonts w:ascii="Verdana" w:eastAsia="Verdana,Arial" w:hAnsi="Verdana" w:cs="Verdana,Arial"/>
                <w:color w:val="1F497D" w:themeColor="text2"/>
                <w:sz w:val="20"/>
                <w:szCs w:val="20"/>
              </w:rPr>
              <w:t xml:space="preserve">de </w:t>
            </w:r>
            <w:r>
              <w:rPr>
                <w:rFonts w:ascii="Verdana" w:eastAsia="Verdana,Arial" w:hAnsi="Verdana" w:cs="Verdana,Arial"/>
                <w:color w:val="1F497D" w:themeColor="text2"/>
                <w:sz w:val="20"/>
                <w:szCs w:val="20"/>
              </w:rPr>
              <w:t>micro crédits</w:t>
            </w:r>
            <w:r w:rsidR="00C23069">
              <w:rPr>
                <w:rFonts w:ascii="Verdana" w:eastAsia="Verdana,Arial" w:hAnsi="Verdana" w:cs="Verdana,Arial"/>
                <w:color w:val="1F497D" w:themeColor="text2"/>
                <w:sz w:val="20"/>
                <w:szCs w:val="20"/>
              </w:rPr>
              <w:t>/financements des entreprises</w:t>
            </w:r>
            <w:r>
              <w:rPr>
                <w:rFonts w:ascii="Verdana" w:eastAsia="Verdana,Arial" w:hAnsi="Verdana" w:cs="Verdana,Arial"/>
                <w:color w:val="1F497D" w:themeColor="text2"/>
                <w:sz w:val="20"/>
                <w:szCs w:val="20"/>
              </w:rPr>
              <w:t xml:space="preserve"> </w:t>
            </w:r>
          </w:p>
        </w:tc>
      </w:tr>
      <w:tr w:rsidR="00611755" w:rsidRPr="000F1A71" w:rsidTr="73C42CC5">
        <w:trPr>
          <w:trHeight w:val="272"/>
        </w:trPr>
        <w:tc>
          <w:tcPr>
            <w:tcW w:w="2370" w:type="dxa"/>
            <w:shd w:val="clear" w:color="auto" w:fill="B8CCE4" w:themeFill="accent1" w:themeFillTint="66"/>
          </w:tcPr>
          <w:p w:rsidR="00611755" w:rsidRPr="000F1A71" w:rsidRDefault="00611755" w:rsidP="000F1A71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Cs/>
                <w:i/>
                <w:color w:val="1F497D"/>
                <w:sz w:val="20"/>
                <w:szCs w:val="20"/>
              </w:rPr>
            </w:pPr>
            <w:r w:rsidRPr="000F1A71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Calendrier</w:t>
            </w:r>
          </w:p>
        </w:tc>
        <w:tc>
          <w:tcPr>
            <w:tcW w:w="8460" w:type="dxa"/>
            <w:shd w:val="clear" w:color="auto" w:fill="B8CCE4" w:themeFill="accent1" w:themeFillTint="66"/>
          </w:tcPr>
          <w:p w:rsidR="00611755" w:rsidRPr="000F1A71" w:rsidRDefault="0061349F" w:rsidP="00D7681E">
            <w:pPr>
              <w:widowControl/>
              <w:numPr>
                <w:ilvl w:val="1"/>
                <w:numId w:val="8"/>
              </w:numPr>
              <w:suppressAutoHyphens w:val="0"/>
              <w:spacing w:before="120"/>
              <w:ind w:left="357" w:hanging="357"/>
              <w:jc w:val="both"/>
              <w:textAlignment w:val="auto"/>
              <w:rPr>
                <w:rFonts w:ascii="Verdana" w:hAnsi="Verdana" w:cs="Arial"/>
                <w:color w:val="1F497D"/>
                <w:sz w:val="20"/>
                <w:szCs w:val="20"/>
              </w:rPr>
            </w:pPr>
            <w:r w:rsidRPr="000F1A71">
              <w:rPr>
                <w:rFonts w:ascii="Verdana" w:hAnsi="Verdana" w:cs="Arial"/>
                <w:color w:val="1F497D"/>
                <w:sz w:val="20"/>
                <w:szCs w:val="20"/>
              </w:rPr>
              <w:t>Durée du Contrat de Ville</w:t>
            </w:r>
          </w:p>
        </w:tc>
      </w:tr>
      <w:tr w:rsidR="005F0153" w:rsidRPr="000F1A71" w:rsidTr="73C42CC5">
        <w:tc>
          <w:tcPr>
            <w:tcW w:w="2370" w:type="dxa"/>
            <w:shd w:val="clear" w:color="auto" w:fill="B8CCE4" w:themeFill="accent1" w:themeFillTint="66"/>
          </w:tcPr>
          <w:p w:rsidR="005F0153" w:rsidRPr="000F1A71" w:rsidRDefault="005F0153" w:rsidP="005F0153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 w:rsidRPr="000F1A71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indicateurs de réalisation</w:t>
            </w:r>
          </w:p>
          <w:p w:rsidR="005F0153" w:rsidRPr="000F1A71" w:rsidRDefault="005F0153" w:rsidP="00D87FB9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</w:p>
        </w:tc>
        <w:tc>
          <w:tcPr>
            <w:tcW w:w="8460" w:type="dxa"/>
            <w:shd w:val="clear" w:color="auto" w:fill="B8CCE4" w:themeFill="accent1" w:themeFillTint="66"/>
          </w:tcPr>
          <w:p w:rsidR="007F0034" w:rsidRPr="000F1A71" w:rsidRDefault="007F0034" w:rsidP="007F0034">
            <w:pPr>
              <w:widowControl/>
              <w:numPr>
                <w:ilvl w:val="1"/>
                <w:numId w:val="8"/>
              </w:numPr>
              <w:suppressAutoHyphens w:val="0"/>
              <w:spacing w:before="120"/>
              <w:ind w:left="357" w:hanging="357"/>
              <w:jc w:val="both"/>
              <w:textAlignment w:val="auto"/>
              <w:rPr>
                <w:rFonts w:ascii="Verdana" w:hAnsi="Verdana" w:cs="Arial"/>
                <w:color w:val="1F497D"/>
                <w:sz w:val="20"/>
                <w:szCs w:val="20"/>
              </w:rPr>
            </w:pPr>
            <w:r w:rsidRPr="000F1A71">
              <w:rPr>
                <w:rFonts w:ascii="Verdana" w:hAnsi="Verdana" w:cs="Arial"/>
                <w:color w:val="1F497D"/>
                <w:sz w:val="20"/>
                <w:szCs w:val="20"/>
              </w:rPr>
              <w:t>Existence d’une convention locale SPRO intégrant des enjeux relatifs aux habitants des quartiers</w:t>
            </w:r>
          </w:p>
          <w:p w:rsidR="007F0034" w:rsidRPr="000F1A71" w:rsidRDefault="007F0034" w:rsidP="007F0034">
            <w:pPr>
              <w:widowControl/>
              <w:numPr>
                <w:ilvl w:val="1"/>
                <w:numId w:val="8"/>
              </w:numPr>
              <w:suppressAutoHyphens w:val="0"/>
              <w:spacing w:before="120"/>
              <w:ind w:left="357" w:hanging="357"/>
              <w:jc w:val="both"/>
              <w:textAlignment w:val="auto"/>
              <w:rPr>
                <w:rFonts w:ascii="Verdana" w:hAnsi="Verdana" w:cs="Arial"/>
                <w:color w:val="1F497D"/>
                <w:sz w:val="20"/>
                <w:szCs w:val="20"/>
              </w:rPr>
            </w:pPr>
            <w:r w:rsidRPr="000F1A71">
              <w:rPr>
                <w:rFonts w:ascii="Verdana" w:hAnsi="Verdana" w:cs="Arial"/>
                <w:color w:val="1F497D"/>
                <w:sz w:val="20"/>
                <w:szCs w:val="20"/>
              </w:rPr>
              <w:t>Nombre d’actions visant la meilleure lisibilité de l’offre d’accueil, de conseil et d’orientation</w:t>
            </w:r>
          </w:p>
          <w:p w:rsidR="005F0153" w:rsidRPr="000F1A71" w:rsidRDefault="007F0034" w:rsidP="00EF644C">
            <w:pPr>
              <w:widowControl/>
              <w:numPr>
                <w:ilvl w:val="1"/>
                <w:numId w:val="8"/>
              </w:numPr>
              <w:suppressAutoHyphens w:val="0"/>
              <w:spacing w:before="120"/>
              <w:ind w:left="357" w:hanging="357"/>
              <w:jc w:val="both"/>
              <w:textAlignment w:val="auto"/>
              <w:rPr>
                <w:rFonts w:ascii="Verdana" w:hAnsi="Verdana" w:cs="Arial"/>
                <w:color w:val="1F497D"/>
                <w:sz w:val="20"/>
                <w:szCs w:val="20"/>
              </w:rPr>
            </w:pPr>
            <w:r w:rsidRPr="000F1A71">
              <w:rPr>
                <w:rFonts w:ascii="Verdana" w:hAnsi="Verdana" w:cs="Arial"/>
                <w:color w:val="1F497D"/>
                <w:sz w:val="20"/>
                <w:szCs w:val="20"/>
              </w:rPr>
              <w:t xml:space="preserve">Nombre </w:t>
            </w:r>
            <w:r w:rsidR="00EF644C">
              <w:rPr>
                <w:rFonts w:ascii="Verdana" w:hAnsi="Verdana" w:cs="Arial"/>
                <w:color w:val="1F497D"/>
                <w:sz w:val="20"/>
                <w:szCs w:val="20"/>
              </w:rPr>
              <w:t>de personnes orientées des QPV orientées vers les dispositifs de droit commun, en emploi, en formation</w:t>
            </w:r>
          </w:p>
        </w:tc>
      </w:tr>
      <w:tr w:rsidR="00D87FB9" w:rsidRPr="000F1A71" w:rsidTr="73C42CC5">
        <w:tc>
          <w:tcPr>
            <w:tcW w:w="2370" w:type="dxa"/>
            <w:shd w:val="clear" w:color="auto" w:fill="B8CCE4" w:themeFill="accent1" w:themeFillTint="66"/>
          </w:tcPr>
          <w:p w:rsidR="00D87FB9" w:rsidRPr="000F1A71" w:rsidRDefault="00D87FB9" w:rsidP="00D87FB9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 w:rsidRPr="000F1A71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Indicateurs d’effets</w:t>
            </w:r>
          </w:p>
          <w:p w:rsidR="00D87FB9" w:rsidRPr="000F1A71" w:rsidRDefault="00D87FB9" w:rsidP="00D87FB9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</w:p>
        </w:tc>
        <w:tc>
          <w:tcPr>
            <w:tcW w:w="8460" w:type="dxa"/>
            <w:shd w:val="clear" w:color="auto" w:fill="B8CCE4" w:themeFill="accent1" w:themeFillTint="66"/>
          </w:tcPr>
          <w:p w:rsidR="00D87FB9" w:rsidRPr="000F1A71" w:rsidRDefault="007F0034" w:rsidP="007F0034">
            <w:pPr>
              <w:widowControl/>
              <w:numPr>
                <w:ilvl w:val="1"/>
                <w:numId w:val="8"/>
              </w:numPr>
              <w:suppressAutoHyphens w:val="0"/>
              <w:spacing w:before="120"/>
              <w:ind w:left="357" w:hanging="357"/>
              <w:jc w:val="both"/>
              <w:textAlignment w:val="auto"/>
              <w:rPr>
                <w:rFonts w:ascii="Verdana" w:hAnsi="Verdana" w:cs="Arial"/>
                <w:color w:val="1F497D"/>
                <w:sz w:val="20"/>
                <w:szCs w:val="20"/>
              </w:rPr>
            </w:pPr>
            <w:r w:rsidRPr="000F1A71">
              <w:rPr>
                <w:rFonts w:ascii="Verdana" w:hAnsi="Verdana" w:cs="Arial"/>
                <w:color w:val="1F497D"/>
                <w:sz w:val="20"/>
                <w:szCs w:val="20"/>
              </w:rPr>
              <w:t>Hausse de la fréquentation des structures emploi par les demandeurs d’emploi des quartiers (rapport d’activité des structures)</w:t>
            </w:r>
          </w:p>
          <w:p w:rsidR="007F0034" w:rsidRDefault="007F0034" w:rsidP="00CC4B63">
            <w:pPr>
              <w:widowControl/>
              <w:numPr>
                <w:ilvl w:val="1"/>
                <w:numId w:val="8"/>
              </w:numPr>
              <w:suppressAutoHyphens w:val="0"/>
              <w:spacing w:before="120"/>
              <w:ind w:left="357" w:hanging="357"/>
              <w:jc w:val="both"/>
              <w:textAlignment w:val="auto"/>
              <w:rPr>
                <w:rFonts w:ascii="Verdana" w:hAnsi="Verdana" w:cs="Arial"/>
                <w:color w:val="1F497D"/>
                <w:sz w:val="20"/>
                <w:szCs w:val="20"/>
              </w:rPr>
            </w:pPr>
            <w:r w:rsidRPr="000F1A71">
              <w:rPr>
                <w:rFonts w:ascii="Verdana" w:hAnsi="Verdana" w:cs="Arial"/>
                <w:color w:val="1F497D"/>
                <w:sz w:val="20"/>
                <w:szCs w:val="20"/>
              </w:rPr>
              <w:t>Des demandeurs d’emplois des quartiers qui s’estiment mieux informés et mieux orientés (enquête d’opinion)</w:t>
            </w:r>
          </w:p>
          <w:p w:rsidR="00BC431F" w:rsidRPr="000F1A71" w:rsidRDefault="00BC431F" w:rsidP="00CC4B63">
            <w:pPr>
              <w:widowControl/>
              <w:numPr>
                <w:ilvl w:val="1"/>
                <w:numId w:val="8"/>
              </w:numPr>
              <w:suppressAutoHyphens w:val="0"/>
              <w:spacing w:before="120"/>
              <w:ind w:left="357" w:hanging="357"/>
              <w:jc w:val="both"/>
              <w:textAlignment w:val="auto"/>
              <w:rPr>
                <w:rFonts w:ascii="Verdana" w:hAnsi="Verdana" w:cs="Arial"/>
                <w:color w:val="1F497D"/>
                <w:sz w:val="20"/>
                <w:szCs w:val="20"/>
              </w:rPr>
            </w:pPr>
            <w:r w:rsidRPr="008C1055">
              <w:rPr>
                <w:rFonts w:ascii="Verdana" w:eastAsia="Verdana,Arial" w:hAnsi="Verdana" w:cs="Verdana,Arial"/>
                <w:color w:val="1F497D" w:themeColor="text2"/>
                <w:sz w:val="20"/>
                <w:szCs w:val="20"/>
              </w:rPr>
              <w:t>Taux d’accès et de retour à l’emploi</w:t>
            </w:r>
            <w:r w:rsidR="00EF644C">
              <w:rPr>
                <w:rFonts w:ascii="Verdana" w:eastAsia="Verdana,Arial" w:hAnsi="Verdana" w:cs="Verdana,Arial"/>
                <w:color w:val="1F497D" w:themeColor="text2"/>
                <w:sz w:val="20"/>
                <w:szCs w:val="20"/>
              </w:rPr>
              <w:t>/formation/création</w:t>
            </w:r>
            <w:r w:rsidRPr="008C1055">
              <w:rPr>
                <w:rFonts w:ascii="Verdana" w:eastAsia="Verdana,Arial" w:hAnsi="Verdana" w:cs="Verdana,Arial"/>
                <w:color w:val="1F497D" w:themeColor="text2"/>
                <w:sz w:val="20"/>
                <w:szCs w:val="20"/>
              </w:rPr>
              <w:t xml:space="preserve"> de ces bénéficiaires lorsque cet indicateur est disponible</w:t>
            </w:r>
          </w:p>
        </w:tc>
      </w:tr>
      <w:tr w:rsidR="00611755" w:rsidRPr="000F1A71" w:rsidTr="73C42CC5">
        <w:tc>
          <w:tcPr>
            <w:tcW w:w="2370" w:type="dxa"/>
            <w:shd w:val="clear" w:color="auto" w:fill="B8CCE4" w:themeFill="accent1" w:themeFillTint="66"/>
          </w:tcPr>
          <w:p w:rsidR="00611755" w:rsidRPr="000F1A71" w:rsidRDefault="00611755" w:rsidP="00611755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 w:rsidRPr="000F1A71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Liens autres enjeux / fiches « orientations opérationnelles »</w:t>
            </w:r>
          </w:p>
        </w:tc>
        <w:tc>
          <w:tcPr>
            <w:tcW w:w="8460" w:type="dxa"/>
            <w:shd w:val="clear" w:color="auto" w:fill="B8CCE4" w:themeFill="accent1" w:themeFillTint="66"/>
          </w:tcPr>
          <w:p w:rsidR="00AE0C2F" w:rsidRPr="000F1A71" w:rsidRDefault="73C42CC5" w:rsidP="00BC431F">
            <w:pPr>
              <w:spacing w:before="120" w:after="160" w:line="259" w:lineRule="auto"/>
              <w:ind w:left="357"/>
              <w:jc w:val="both"/>
              <w:rPr>
                <w:rFonts w:ascii="Verdana" w:hAnsi="Verdana"/>
                <w:sz w:val="20"/>
                <w:szCs w:val="20"/>
              </w:rPr>
            </w:pPr>
            <w:r w:rsidRPr="0029551A">
              <w:rPr>
                <w:rFonts w:ascii="Verdana" w:eastAsia="Verdana,Arial" w:hAnsi="Verdana" w:cs="Verdana,Arial"/>
                <w:color w:val="1F497D" w:themeColor="text2"/>
                <w:sz w:val="20"/>
                <w:szCs w:val="20"/>
              </w:rPr>
              <w:t xml:space="preserve">Lien avec l’ensemble des fiches du pilier 3 et des axes transversaux </w:t>
            </w:r>
          </w:p>
        </w:tc>
      </w:tr>
    </w:tbl>
    <w:p w:rsidR="00611755" w:rsidRDefault="00611755" w:rsidP="008D57C0">
      <w:pPr>
        <w:pStyle w:val="WW-Standard"/>
        <w:tabs>
          <w:tab w:val="left" w:pos="5920"/>
        </w:tabs>
        <w:spacing w:after="57"/>
        <w:rPr>
          <w:rFonts w:ascii="Verdana" w:hAnsi="Verdana" w:cs="Verdana"/>
          <w:b/>
          <w:bCs/>
          <w:sz w:val="28"/>
          <w:szCs w:val="28"/>
        </w:rPr>
      </w:pPr>
    </w:p>
    <w:p w:rsidR="008D0202" w:rsidRDefault="008D0202">
      <w:pPr>
        <w:widowControl/>
        <w:suppressAutoHyphens w:val="0"/>
        <w:textAlignment w:val="auto"/>
        <w:rPr>
          <w:rFonts w:ascii="Verdana" w:hAnsi="Verdana" w:cs="Verdana"/>
          <w:b/>
          <w:bCs/>
          <w:color w:val="FFFFFF"/>
          <w:sz w:val="28"/>
          <w:szCs w:val="28"/>
        </w:rPr>
      </w:pPr>
    </w:p>
    <w:sectPr w:rsidR="008D0202" w:rsidSect="00A433C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454" w:right="567" w:bottom="737" w:left="567" w:header="567" w:footer="567" w:gutter="0"/>
      <w:cols w:space="720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0" w15:paraId="072C747C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3ADB" w:rsidRDefault="00843ADB" w:rsidP="00A03715">
      <w:pPr>
        <w:pStyle w:val="TableContents"/>
      </w:pPr>
      <w:r>
        <w:separator/>
      </w:r>
    </w:p>
  </w:endnote>
  <w:endnote w:type="continuationSeparator" w:id="0">
    <w:p w:rsidR="00843ADB" w:rsidRDefault="00843ADB" w:rsidP="00A03715">
      <w:pPr>
        <w:pStyle w:val="TableContents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,Arial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15F5" w:rsidRDefault="009F15F5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4B63" w:rsidRDefault="00CC4B63" w:rsidP="00973B15">
    <w:pPr>
      <w:pStyle w:val="Pieddepage"/>
      <w:widowControl/>
      <w:jc w:val="right"/>
      <w:rPr>
        <w:rFonts w:ascii="Verdana" w:hAnsi="Verdana" w:cs="Verdana"/>
        <w:sz w:val="16"/>
        <w:szCs w:val="16"/>
      </w:rPr>
    </w:pPr>
    <w:r>
      <w:rPr>
        <w:rFonts w:ascii="Verdana" w:hAnsi="Verdana" w:cs="Verdana"/>
        <w:sz w:val="16"/>
        <w:szCs w:val="16"/>
      </w:rPr>
      <w:t>Contrat de ville</w:t>
    </w:r>
    <w:r w:rsidR="00617FC3">
      <w:rPr>
        <w:rFonts w:ascii="Verdana" w:hAnsi="Verdana" w:cs="Verdana"/>
        <w:sz w:val="16"/>
        <w:szCs w:val="16"/>
      </w:rPr>
      <w:t xml:space="preserve"> - </w:t>
    </w:r>
    <w:r>
      <w:rPr>
        <w:rFonts w:ascii="Verdana" w:hAnsi="Verdana" w:cs="Verdana"/>
        <w:sz w:val="16"/>
        <w:szCs w:val="16"/>
      </w:rPr>
      <w:t>Fiche orientation opérationnelle</w:t>
    </w:r>
  </w:p>
  <w:p w:rsidR="00617FC3" w:rsidRDefault="009F15F5" w:rsidP="00973B15">
    <w:pPr>
      <w:pStyle w:val="Pieddepage"/>
      <w:widowControl/>
      <w:jc w:val="right"/>
    </w:pPr>
    <w:r>
      <w:rPr>
        <w:rFonts w:ascii="Verdana" w:hAnsi="Verdana" w:cs="Verdana"/>
        <w:sz w:val="16"/>
        <w:szCs w:val="16"/>
      </w:rPr>
      <w:t>Date de mise à jour </w:t>
    </w:r>
    <w:r w:rsidR="00617FC3">
      <w:rPr>
        <w:rFonts w:ascii="Verdana" w:hAnsi="Verdana" w:cs="Verdana"/>
        <w:sz w:val="16"/>
        <w:szCs w:val="16"/>
      </w:rPr>
      <w:t>: 15 novembre 2017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15F5" w:rsidRDefault="009F15F5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3ADB" w:rsidRDefault="00843ADB" w:rsidP="00A03715">
      <w:pPr>
        <w:pStyle w:val="TableContents"/>
      </w:pPr>
      <w:r>
        <w:separator/>
      </w:r>
    </w:p>
  </w:footnote>
  <w:footnote w:type="continuationSeparator" w:id="0">
    <w:p w:rsidR="00843ADB" w:rsidRDefault="00843ADB" w:rsidP="00A03715">
      <w:pPr>
        <w:pStyle w:val="TableContents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15F5" w:rsidRDefault="009F15F5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15F5" w:rsidRDefault="009F15F5">
    <w:pPr>
      <w:pStyle w:val="En-tt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15F5" w:rsidRDefault="009F15F5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F654AF3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0000006"/>
    <w:multiLevelType w:val="multilevel"/>
    <w:tmpl w:val="00000006"/>
    <w:name w:val="WW8Num6"/>
    <w:lvl w:ilvl="0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</w:rPr>
    </w:lvl>
    <w:lvl w:ilvl="1">
      <w:start w:val="1"/>
      <w:numFmt w:val="bullet"/>
      <w:lvlText w:val="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</w:rPr>
    </w:lvl>
    <w:lvl w:ilvl="3">
      <w:start w:val="1"/>
      <w:numFmt w:val="bullet"/>
      <w:lvlText w:val="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</w:rPr>
    </w:lvl>
    <w:lvl w:ilvl="4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</w:rPr>
    </w:lvl>
    <w:lvl w:ilvl="5">
      <w:start w:val="1"/>
      <w:numFmt w:val="bullet"/>
      <w:lvlText w:val="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</w:rPr>
    </w:lvl>
    <w:lvl w:ilvl="6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</w:rPr>
    </w:lvl>
    <w:lvl w:ilvl="7">
      <w:start w:val="1"/>
      <w:numFmt w:val="bullet"/>
      <w:lvlText w:val="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</w:rPr>
    </w:lvl>
    <w:lvl w:ilvl="8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</w:rPr>
    </w:lvl>
  </w:abstractNum>
  <w:abstractNum w:abstractNumId="4">
    <w:nsid w:val="002B0EDB"/>
    <w:multiLevelType w:val="hybridMultilevel"/>
    <w:tmpl w:val="414A0AFC"/>
    <w:lvl w:ilvl="0" w:tplc="B84E29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A182A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D269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5E0CC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B262F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28283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2EEF6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9BA3A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F3096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02A76313"/>
    <w:multiLevelType w:val="hybridMultilevel"/>
    <w:tmpl w:val="2E4C7B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4EE5CB8"/>
    <w:multiLevelType w:val="hybridMultilevel"/>
    <w:tmpl w:val="B6D0C898"/>
    <w:lvl w:ilvl="0" w:tplc="986037BC">
      <w:start w:val="5"/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0FAD1A37"/>
    <w:multiLevelType w:val="hybridMultilevel"/>
    <w:tmpl w:val="6110F8AE"/>
    <w:lvl w:ilvl="0" w:tplc="845079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1CEA60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D756A9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ADFC27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D42E80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8E92E2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6B16BD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14C068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8">
    <w:nsid w:val="17693FCD"/>
    <w:multiLevelType w:val="hybridMultilevel"/>
    <w:tmpl w:val="539CE17A"/>
    <w:lvl w:ilvl="0" w:tplc="040C000B">
      <w:start w:val="1"/>
      <w:numFmt w:val="bullet"/>
      <w:lvlText w:val=""/>
      <w:lvlJc w:val="left"/>
      <w:pPr>
        <w:ind w:left="85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9">
    <w:nsid w:val="2A717B55"/>
    <w:multiLevelType w:val="hybridMultilevel"/>
    <w:tmpl w:val="B21A28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0B5F60"/>
    <w:multiLevelType w:val="hybridMultilevel"/>
    <w:tmpl w:val="64F48460"/>
    <w:lvl w:ilvl="0" w:tplc="986037BC">
      <w:start w:val="5"/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57A1F35"/>
    <w:multiLevelType w:val="hybridMultilevel"/>
    <w:tmpl w:val="F0A68F52"/>
    <w:lvl w:ilvl="0" w:tplc="0BF622A2">
      <w:numFmt w:val="bullet"/>
      <w:lvlText w:val="-"/>
      <w:lvlJc w:val="left"/>
      <w:pPr>
        <w:ind w:left="720" w:hanging="360"/>
      </w:pPr>
      <w:rPr>
        <w:rFonts w:ascii="Arial" w:eastAsia="SimSu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8C5936"/>
    <w:multiLevelType w:val="hybridMultilevel"/>
    <w:tmpl w:val="B0CE408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D52120"/>
    <w:multiLevelType w:val="hybridMultilevel"/>
    <w:tmpl w:val="F2F438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8EA7E5B"/>
    <w:multiLevelType w:val="hybridMultilevel"/>
    <w:tmpl w:val="586E0274"/>
    <w:lvl w:ilvl="0" w:tplc="D97E5A80">
      <w:numFmt w:val="bullet"/>
      <w:lvlText w:val="•"/>
      <w:lvlJc w:val="left"/>
      <w:pPr>
        <w:ind w:left="1065" w:hanging="705"/>
      </w:pPr>
      <w:rPr>
        <w:rFonts w:ascii="Verdana" w:eastAsia="Verdana,Arial" w:hAnsi="Verdana" w:cs="Verdana,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FBE6885"/>
    <w:multiLevelType w:val="hybridMultilevel"/>
    <w:tmpl w:val="0F74463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1"/>
  </w:num>
  <w:num w:numId="5">
    <w:abstractNumId w:val="0"/>
  </w:num>
  <w:num w:numId="6">
    <w:abstractNumId w:val="4"/>
  </w:num>
  <w:num w:numId="7">
    <w:abstractNumId w:val="5"/>
  </w:num>
  <w:num w:numId="8">
    <w:abstractNumId w:val="7"/>
  </w:num>
  <w:num w:numId="9">
    <w:abstractNumId w:val="15"/>
  </w:num>
  <w:num w:numId="10">
    <w:abstractNumId w:val="6"/>
  </w:num>
  <w:num w:numId="11">
    <w:abstractNumId w:val="10"/>
  </w:num>
  <w:num w:numId="12">
    <w:abstractNumId w:val="12"/>
  </w:num>
  <w:num w:numId="13">
    <w:abstractNumId w:val="9"/>
  </w:num>
  <w:num w:numId="14">
    <w:abstractNumId w:val="13"/>
  </w:num>
  <w:num w:numId="15">
    <w:abstractNumId w:val="8"/>
  </w:num>
  <w:num w:numId="16">
    <w:abstractNumId w:val="14"/>
  </w:num>
</w:numbering>
</file>

<file path=word/people.xml><?xml version="1.0" encoding="utf-8"?>
<w15:people xmlns:mc="http://schemas.openxmlformats.org/markup-compatibility/2006" xmlns:w15="http://schemas.microsoft.com/office/word/2012/wordml" mc:Ignorable="w15">
  <w15:person w15:author="Clara MOUSSAUD">
    <w15:presenceInfo w15:providerId="AD" w15:userId="10037FFE90603141@LIVE.COM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gutterAtTop/>
  <w:proofState w:spelling="clean" w:grammar="clean"/>
  <w:doNotTrackMoves/>
  <w:doNotTrackFormatting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66A5"/>
    <w:rsid w:val="00015782"/>
    <w:rsid w:val="00025722"/>
    <w:rsid w:val="00031B19"/>
    <w:rsid w:val="00036422"/>
    <w:rsid w:val="000431FC"/>
    <w:rsid w:val="00090072"/>
    <w:rsid w:val="00092614"/>
    <w:rsid w:val="000966A5"/>
    <w:rsid w:val="00096ECC"/>
    <w:rsid w:val="000A570C"/>
    <w:rsid w:val="000F1A71"/>
    <w:rsid w:val="000F355B"/>
    <w:rsid w:val="00126652"/>
    <w:rsid w:val="001327C8"/>
    <w:rsid w:val="00141401"/>
    <w:rsid w:val="00157E13"/>
    <w:rsid w:val="001611B3"/>
    <w:rsid w:val="0016489B"/>
    <w:rsid w:val="00172682"/>
    <w:rsid w:val="001B5930"/>
    <w:rsid w:val="001C466A"/>
    <w:rsid w:val="001F1007"/>
    <w:rsid w:val="00221F00"/>
    <w:rsid w:val="00222DDA"/>
    <w:rsid w:val="00243AF9"/>
    <w:rsid w:val="00251461"/>
    <w:rsid w:val="00255E4D"/>
    <w:rsid w:val="002650B0"/>
    <w:rsid w:val="0029551A"/>
    <w:rsid w:val="002A5B58"/>
    <w:rsid w:val="002B0994"/>
    <w:rsid w:val="002F6950"/>
    <w:rsid w:val="00332D5A"/>
    <w:rsid w:val="003420AD"/>
    <w:rsid w:val="00342ADB"/>
    <w:rsid w:val="00344A01"/>
    <w:rsid w:val="003744CB"/>
    <w:rsid w:val="003966A6"/>
    <w:rsid w:val="003A2784"/>
    <w:rsid w:val="003B381A"/>
    <w:rsid w:val="003C249F"/>
    <w:rsid w:val="003C5937"/>
    <w:rsid w:val="003E1C83"/>
    <w:rsid w:val="003F074B"/>
    <w:rsid w:val="00403AC9"/>
    <w:rsid w:val="00405EFC"/>
    <w:rsid w:val="00440B37"/>
    <w:rsid w:val="00445BC6"/>
    <w:rsid w:val="00450F2B"/>
    <w:rsid w:val="0045548E"/>
    <w:rsid w:val="00456044"/>
    <w:rsid w:val="00481787"/>
    <w:rsid w:val="004A602D"/>
    <w:rsid w:val="00502539"/>
    <w:rsid w:val="005150D7"/>
    <w:rsid w:val="00541302"/>
    <w:rsid w:val="00543505"/>
    <w:rsid w:val="00550524"/>
    <w:rsid w:val="00564CE8"/>
    <w:rsid w:val="005B77E2"/>
    <w:rsid w:val="005D180D"/>
    <w:rsid w:val="005E4242"/>
    <w:rsid w:val="005F0153"/>
    <w:rsid w:val="005F60FE"/>
    <w:rsid w:val="00611755"/>
    <w:rsid w:val="0061349F"/>
    <w:rsid w:val="00617FC3"/>
    <w:rsid w:val="00626CBC"/>
    <w:rsid w:val="00630B55"/>
    <w:rsid w:val="00633A2F"/>
    <w:rsid w:val="00652F55"/>
    <w:rsid w:val="006A3BC2"/>
    <w:rsid w:val="006E4792"/>
    <w:rsid w:val="006F3473"/>
    <w:rsid w:val="00725772"/>
    <w:rsid w:val="007324C8"/>
    <w:rsid w:val="007358F5"/>
    <w:rsid w:val="00741C82"/>
    <w:rsid w:val="0074359D"/>
    <w:rsid w:val="00765FF0"/>
    <w:rsid w:val="0079748E"/>
    <w:rsid w:val="007A7B97"/>
    <w:rsid w:val="007B7D1F"/>
    <w:rsid w:val="007D246C"/>
    <w:rsid w:val="007D7354"/>
    <w:rsid w:val="007F0034"/>
    <w:rsid w:val="007F401A"/>
    <w:rsid w:val="00806B91"/>
    <w:rsid w:val="0082148C"/>
    <w:rsid w:val="00825C0B"/>
    <w:rsid w:val="00827890"/>
    <w:rsid w:val="0083500C"/>
    <w:rsid w:val="00841AF9"/>
    <w:rsid w:val="00843724"/>
    <w:rsid w:val="00843ADB"/>
    <w:rsid w:val="00854452"/>
    <w:rsid w:val="00860E13"/>
    <w:rsid w:val="00864CBA"/>
    <w:rsid w:val="0088450D"/>
    <w:rsid w:val="008D0202"/>
    <w:rsid w:val="008D57C0"/>
    <w:rsid w:val="008F41F9"/>
    <w:rsid w:val="00920762"/>
    <w:rsid w:val="00924000"/>
    <w:rsid w:val="00926A6A"/>
    <w:rsid w:val="00934D6C"/>
    <w:rsid w:val="009520CB"/>
    <w:rsid w:val="00960B14"/>
    <w:rsid w:val="00962703"/>
    <w:rsid w:val="00973B15"/>
    <w:rsid w:val="0097477D"/>
    <w:rsid w:val="009910D0"/>
    <w:rsid w:val="009A100C"/>
    <w:rsid w:val="009C075F"/>
    <w:rsid w:val="009C178E"/>
    <w:rsid w:val="009C3F4D"/>
    <w:rsid w:val="009F15F5"/>
    <w:rsid w:val="00A01652"/>
    <w:rsid w:val="00A03715"/>
    <w:rsid w:val="00A12CC2"/>
    <w:rsid w:val="00A230D1"/>
    <w:rsid w:val="00A34D8D"/>
    <w:rsid w:val="00A433C2"/>
    <w:rsid w:val="00A60403"/>
    <w:rsid w:val="00AA02BF"/>
    <w:rsid w:val="00AA3D06"/>
    <w:rsid w:val="00AD0191"/>
    <w:rsid w:val="00AE0C2F"/>
    <w:rsid w:val="00AF6772"/>
    <w:rsid w:val="00B42503"/>
    <w:rsid w:val="00B537E0"/>
    <w:rsid w:val="00B82553"/>
    <w:rsid w:val="00BC431F"/>
    <w:rsid w:val="00BC5B49"/>
    <w:rsid w:val="00BE4175"/>
    <w:rsid w:val="00BE52CF"/>
    <w:rsid w:val="00BE6FC2"/>
    <w:rsid w:val="00C10DAA"/>
    <w:rsid w:val="00C23069"/>
    <w:rsid w:val="00C52CBA"/>
    <w:rsid w:val="00C8532B"/>
    <w:rsid w:val="00CA698C"/>
    <w:rsid w:val="00CC0218"/>
    <w:rsid w:val="00CC4B63"/>
    <w:rsid w:val="00CF557E"/>
    <w:rsid w:val="00D7681E"/>
    <w:rsid w:val="00D76BE9"/>
    <w:rsid w:val="00D80E84"/>
    <w:rsid w:val="00D86EE0"/>
    <w:rsid w:val="00D87FB9"/>
    <w:rsid w:val="00DA3754"/>
    <w:rsid w:val="00DA6B8B"/>
    <w:rsid w:val="00DC0102"/>
    <w:rsid w:val="00DC60F1"/>
    <w:rsid w:val="00DD597C"/>
    <w:rsid w:val="00DD76CD"/>
    <w:rsid w:val="00EB5C31"/>
    <w:rsid w:val="00ED7F39"/>
    <w:rsid w:val="00EE7747"/>
    <w:rsid w:val="00EF644C"/>
    <w:rsid w:val="00F04DC2"/>
    <w:rsid w:val="00F23EF6"/>
    <w:rsid w:val="00F275A3"/>
    <w:rsid w:val="00F331E8"/>
    <w:rsid w:val="00F64F25"/>
    <w:rsid w:val="00F716D6"/>
    <w:rsid w:val="00FA5B21"/>
    <w:rsid w:val="00FC61AC"/>
    <w:rsid w:val="00FE04A9"/>
    <w:rsid w:val="00FE12A3"/>
    <w:rsid w:val="73C42CC5"/>
    <w:rsid w:val="791BA1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65FF0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zh-CN" w:bidi="hi-IN"/>
    </w:rPr>
  </w:style>
  <w:style w:type="paragraph" w:styleId="Titre1">
    <w:name w:val="heading 1"/>
    <w:basedOn w:val="Heading"/>
    <w:next w:val="Textbody"/>
    <w:qFormat/>
    <w:rsid w:val="00765FF0"/>
    <w:pPr>
      <w:numPr>
        <w:numId w:val="1"/>
      </w:numPr>
      <w:outlineLvl w:val="0"/>
    </w:pPr>
    <w:rPr>
      <w:b/>
      <w:bCs/>
    </w:rPr>
  </w:style>
  <w:style w:type="paragraph" w:styleId="Titre2">
    <w:name w:val="heading 2"/>
    <w:basedOn w:val="Heading"/>
    <w:next w:val="Textbody"/>
    <w:qFormat/>
    <w:rsid w:val="00765FF0"/>
    <w:pPr>
      <w:numPr>
        <w:ilvl w:val="1"/>
        <w:numId w:val="1"/>
      </w:numPr>
      <w:outlineLvl w:val="1"/>
    </w:pPr>
    <w:rPr>
      <w:b/>
      <w:bCs/>
      <w:i/>
      <w:iCs/>
    </w:rPr>
  </w:style>
  <w:style w:type="paragraph" w:styleId="Titre3">
    <w:name w:val="heading 3"/>
    <w:basedOn w:val="Heading"/>
    <w:next w:val="Textbody"/>
    <w:qFormat/>
    <w:rsid w:val="00765FF0"/>
    <w:pPr>
      <w:numPr>
        <w:ilvl w:val="2"/>
        <w:numId w:val="1"/>
      </w:numPr>
      <w:outlineLvl w:val="2"/>
    </w:pPr>
    <w:rPr>
      <w:b/>
      <w:bCs/>
    </w:rPr>
  </w:style>
  <w:style w:type="paragraph" w:styleId="Titre4">
    <w:name w:val="heading 4"/>
    <w:basedOn w:val="Normal"/>
    <w:next w:val="Normal"/>
    <w:link w:val="Titre4Car"/>
    <w:semiHidden/>
    <w:unhideWhenUsed/>
    <w:qFormat/>
    <w:rsid w:val="00445BC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sid w:val="00765FF0"/>
    <w:rPr>
      <w:rFonts w:ascii="Symbol" w:eastAsia="Times New Roman" w:hAnsi="Symbol" w:cs="Verdana"/>
    </w:rPr>
  </w:style>
  <w:style w:type="character" w:customStyle="1" w:styleId="WW8Num1z1">
    <w:name w:val="WW8Num1z1"/>
    <w:rsid w:val="00765FF0"/>
    <w:rPr>
      <w:rFonts w:ascii="OpenSymbol" w:hAnsi="OpenSymbol" w:cs="Courier New"/>
    </w:rPr>
  </w:style>
  <w:style w:type="character" w:customStyle="1" w:styleId="WW8Num2z0">
    <w:name w:val="WW8Num2z0"/>
    <w:rsid w:val="00765FF0"/>
    <w:rPr>
      <w:rFonts w:ascii="Verdana" w:eastAsia="SimSun" w:hAnsi="Verdana" w:cs="Mangal"/>
    </w:rPr>
  </w:style>
  <w:style w:type="character" w:customStyle="1" w:styleId="WW8Num2z1">
    <w:name w:val="WW8Num2z1"/>
    <w:rsid w:val="00765FF0"/>
    <w:rPr>
      <w:rFonts w:ascii="Courier New" w:hAnsi="Courier New" w:cs="Courier New"/>
    </w:rPr>
  </w:style>
  <w:style w:type="character" w:customStyle="1" w:styleId="WW8Num2z2">
    <w:name w:val="WW8Num2z2"/>
    <w:rsid w:val="00765FF0"/>
    <w:rPr>
      <w:rFonts w:ascii="Wingdings" w:hAnsi="Wingdings" w:cs="Wingdings"/>
    </w:rPr>
  </w:style>
  <w:style w:type="character" w:customStyle="1" w:styleId="WW8Num2z3">
    <w:name w:val="WW8Num2z3"/>
    <w:rsid w:val="00765FF0"/>
    <w:rPr>
      <w:rFonts w:ascii="Symbol" w:hAnsi="Symbol" w:cs="Symbol"/>
    </w:rPr>
  </w:style>
  <w:style w:type="character" w:customStyle="1" w:styleId="WW8Num4z0">
    <w:name w:val="WW8Num4z0"/>
    <w:rsid w:val="00765FF0"/>
    <w:rPr>
      <w:rFonts w:ascii="Verdana" w:eastAsia="Times New Roman" w:hAnsi="Verdana" w:cs="Verdana"/>
    </w:rPr>
  </w:style>
  <w:style w:type="character" w:customStyle="1" w:styleId="WW8Num4z1">
    <w:name w:val="WW8Num4z1"/>
    <w:rsid w:val="00765FF0"/>
    <w:rPr>
      <w:rFonts w:ascii="Courier New" w:hAnsi="Courier New" w:cs="Courier New"/>
    </w:rPr>
  </w:style>
  <w:style w:type="character" w:customStyle="1" w:styleId="WW8Num4z2">
    <w:name w:val="WW8Num4z2"/>
    <w:rsid w:val="00765FF0"/>
    <w:rPr>
      <w:rFonts w:ascii="Wingdings" w:hAnsi="Wingdings" w:cs="Wingdings"/>
    </w:rPr>
  </w:style>
  <w:style w:type="character" w:customStyle="1" w:styleId="WW8Num4z3">
    <w:name w:val="WW8Num4z3"/>
    <w:rsid w:val="00765FF0"/>
    <w:rPr>
      <w:rFonts w:ascii="Symbol" w:hAnsi="Symbol" w:cs="Symbol"/>
    </w:rPr>
  </w:style>
  <w:style w:type="character" w:customStyle="1" w:styleId="WW8Num5z0">
    <w:name w:val="WW8Num5z0"/>
    <w:rsid w:val="00765FF0"/>
    <w:rPr>
      <w:rFonts w:ascii="Symbol" w:hAnsi="Symbol" w:cs="OpenSymbol"/>
    </w:rPr>
  </w:style>
  <w:style w:type="character" w:customStyle="1" w:styleId="WW8Num5z1">
    <w:name w:val="WW8Num5z1"/>
    <w:rsid w:val="00765FF0"/>
    <w:rPr>
      <w:rFonts w:ascii="OpenSymbol" w:hAnsi="OpenSymbol" w:cs="OpenSymbol"/>
    </w:rPr>
  </w:style>
  <w:style w:type="character" w:customStyle="1" w:styleId="WW8Num5z2">
    <w:name w:val="WW8Num5z2"/>
    <w:rsid w:val="00765FF0"/>
    <w:rPr>
      <w:rFonts w:ascii="Wingdings" w:hAnsi="Wingdings" w:cs="Wingdings"/>
    </w:rPr>
  </w:style>
  <w:style w:type="character" w:customStyle="1" w:styleId="WW8Num5z3">
    <w:name w:val="WW8Num5z3"/>
    <w:rsid w:val="00765FF0"/>
    <w:rPr>
      <w:rFonts w:ascii="Symbol" w:hAnsi="Symbol" w:cs="Symbol"/>
    </w:rPr>
  </w:style>
  <w:style w:type="character" w:customStyle="1" w:styleId="WW8Num6z0">
    <w:name w:val="WW8Num6z0"/>
    <w:rsid w:val="00765FF0"/>
    <w:rPr>
      <w:rFonts w:ascii="Symbol" w:hAnsi="Symbol" w:cs="OpenSymbol"/>
    </w:rPr>
  </w:style>
  <w:style w:type="character" w:customStyle="1" w:styleId="WW8Num6z1">
    <w:name w:val="WW8Num6z1"/>
    <w:rsid w:val="00765FF0"/>
    <w:rPr>
      <w:rFonts w:ascii="OpenSymbol" w:hAnsi="OpenSymbol" w:cs="OpenSymbol"/>
    </w:rPr>
  </w:style>
  <w:style w:type="character" w:customStyle="1" w:styleId="Policepardfaut1">
    <w:name w:val="Police par défaut1"/>
    <w:rsid w:val="00765FF0"/>
  </w:style>
  <w:style w:type="character" w:customStyle="1" w:styleId="NumberingSymbols">
    <w:name w:val="Numbering Symbols"/>
    <w:rsid w:val="00765FF0"/>
    <w:rPr>
      <w:b/>
      <w:bCs/>
    </w:rPr>
  </w:style>
  <w:style w:type="character" w:customStyle="1" w:styleId="BulletSymbols">
    <w:name w:val="Bullet Symbols"/>
    <w:rsid w:val="00765FF0"/>
    <w:rPr>
      <w:rFonts w:ascii="OpenSymbol" w:eastAsia="OpenSymbol" w:hAnsi="OpenSymbol" w:cs="OpenSymbol"/>
    </w:rPr>
  </w:style>
  <w:style w:type="character" w:customStyle="1" w:styleId="En-tteCar">
    <w:name w:val="En-tête Car"/>
    <w:rsid w:val="00765FF0"/>
    <w:rPr>
      <w:szCs w:val="21"/>
    </w:rPr>
  </w:style>
  <w:style w:type="character" w:styleId="Numrodepage">
    <w:name w:val="page number"/>
    <w:basedOn w:val="Policepardfaut1"/>
    <w:rsid w:val="00765FF0"/>
  </w:style>
  <w:style w:type="character" w:customStyle="1" w:styleId="Puces">
    <w:name w:val="Puces"/>
    <w:rsid w:val="00765FF0"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rsid w:val="00765FF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sdetexte">
    <w:name w:val="Body Text"/>
    <w:basedOn w:val="Normal"/>
    <w:rsid w:val="00765FF0"/>
    <w:pPr>
      <w:spacing w:after="120"/>
    </w:pPr>
  </w:style>
  <w:style w:type="paragraph" w:styleId="Liste">
    <w:name w:val="List"/>
    <w:basedOn w:val="Textbody"/>
    <w:rsid w:val="00765FF0"/>
  </w:style>
  <w:style w:type="paragraph" w:styleId="Lgende">
    <w:name w:val="caption"/>
    <w:basedOn w:val="WW-Standard"/>
    <w:qFormat/>
    <w:rsid w:val="00765FF0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WW-Standard"/>
    <w:rsid w:val="00765FF0"/>
    <w:pPr>
      <w:suppressLineNumbers/>
    </w:pPr>
  </w:style>
  <w:style w:type="paragraph" w:customStyle="1" w:styleId="WW-Standard">
    <w:name w:val="WW-Standard"/>
    <w:rsid w:val="00765FF0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Heading">
    <w:name w:val="Heading"/>
    <w:basedOn w:val="WW-Standard"/>
    <w:next w:val="Textbody"/>
    <w:rsid w:val="00765FF0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WW-Standard"/>
    <w:rsid w:val="00765FF0"/>
    <w:pPr>
      <w:spacing w:after="120"/>
    </w:pPr>
  </w:style>
  <w:style w:type="paragraph" w:styleId="Pieddepage">
    <w:name w:val="footer"/>
    <w:basedOn w:val="WW-Standard"/>
    <w:rsid w:val="00765FF0"/>
    <w:pPr>
      <w:suppressLineNumbers/>
    </w:pPr>
  </w:style>
  <w:style w:type="paragraph" w:customStyle="1" w:styleId="TableContents">
    <w:name w:val="Table Contents"/>
    <w:basedOn w:val="WW-Standard"/>
    <w:rsid w:val="00765FF0"/>
    <w:pPr>
      <w:suppressLineNumbers/>
    </w:pPr>
  </w:style>
  <w:style w:type="paragraph" w:styleId="En-tte">
    <w:name w:val="header"/>
    <w:basedOn w:val="Normal"/>
    <w:rsid w:val="00765FF0"/>
    <w:rPr>
      <w:szCs w:val="21"/>
    </w:rPr>
  </w:style>
  <w:style w:type="paragraph" w:customStyle="1" w:styleId="Contenudetableau">
    <w:name w:val="Contenu de tableau"/>
    <w:basedOn w:val="Normal"/>
    <w:rsid w:val="00765FF0"/>
    <w:pPr>
      <w:suppressLineNumbers/>
    </w:pPr>
  </w:style>
  <w:style w:type="paragraph" w:customStyle="1" w:styleId="Titredetableau">
    <w:name w:val="Titre de tableau"/>
    <w:basedOn w:val="Contenudetableau"/>
    <w:rsid w:val="00765FF0"/>
    <w:pPr>
      <w:jc w:val="center"/>
    </w:pPr>
    <w:rPr>
      <w:b/>
      <w:bCs/>
    </w:rPr>
  </w:style>
  <w:style w:type="table" w:styleId="Grilledutableau">
    <w:name w:val="Table Grid"/>
    <w:basedOn w:val="TableauNormal"/>
    <w:rsid w:val="00450F2B"/>
    <w:pPr>
      <w:widowControl w:val="0"/>
      <w:suppressAutoHyphens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ED7F39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NormalWeb">
    <w:name w:val="Normal (Web)"/>
    <w:basedOn w:val="Normal"/>
    <w:uiPriority w:val="99"/>
    <w:unhideWhenUsed/>
    <w:rsid w:val="009910D0"/>
    <w:pPr>
      <w:widowControl/>
      <w:suppressAutoHyphens w:val="0"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fr-FR" w:bidi="ar-SA"/>
    </w:rPr>
  </w:style>
  <w:style w:type="character" w:customStyle="1" w:styleId="Titre4Car">
    <w:name w:val="Titre 4 Car"/>
    <w:basedOn w:val="Policepardfaut"/>
    <w:link w:val="Titre4"/>
    <w:semiHidden/>
    <w:rsid w:val="00445BC6"/>
    <w:rPr>
      <w:rFonts w:asciiTheme="majorHAnsi" w:eastAsiaTheme="majorEastAsia" w:hAnsiTheme="majorHAnsi" w:cstheme="majorBidi"/>
      <w:b/>
      <w:bCs/>
      <w:i/>
      <w:iCs/>
      <w:color w:val="4F81BD" w:themeColor="accent1"/>
      <w:kern w:val="1"/>
      <w:sz w:val="24"/>
      <w:szCs w:val="24"/>
      <w:lang w:eastAsia="zh-CN" w:bidi="hi-IN"/>
    </w:rPr>
  </w:style>
  <w:style w:type="paragraph" w:styleId="Paragraphedeliste">
    <w:name w:val="List Paragraph"/>
    <w:basedOn w:val="Normal"/>
    <w:uiPriority w:val="34"/>
    <w:qFormat/>
    <w:rsid w:val="00445BC6"/>
    <w:pPr>
      <w:widowControl/>
      <w:suppressAutoHyphens w:val="0"/>
      <w:spacing w:line="300" w:lineRule="auto"/>
      <w:ind w:left="720"/>
      <w:contextualSpacing/>
      <w:jc w:val="both"/>
      <w:textAlignment w:val="auto"/>
    </w:pPr>
    <w:rPr>
      <w:rFonts w:ascii="Verdana" w:eastAsia="Times New Roman" w:hAnsi="Verdana" w:cs="Times New Roman"/>
      <w:kern w:val="0"/>
      <w:sz w:val="18"/>
      <w:szCs w:val="18"/>
      <w:lang w:eastAsia="fr-FR" w:bidi="ar-SA"/>
    </w:rPr>
  </w:style>
  <w:style w:type="paragraph" w:styleId="Commentaire">
    <w:name w:val="annotation text"/>
    <w:basedOn w:val="Normal"/>
    <w:link w:val="CommentaireCar"/>
    <w:rsid w:val="00765FF0"/>
    <w:rPr>
      <w:sz w:val="20"/>
      <w:szCs w:val="18"/>
    </w:rPr>
  </w:style>
  <w:style w:type="character" w:customStyle="1" w:styleId="CommentaireCar">
    <w:name w:val="Commentaire Car"/>
    <w:basedOn w:val="Policepardfaut"/>
    <w:link w:val="Commentaire"/>
    <w:rsid w:val="00765FF0"/>
    <w:rPr>
      <w:rFonts w:eastAsia="SimSun" w:cs="Mangal"/>
      <w:kern w:val="1"/>
      <w:szCs w:val="18"/>
      <w:lang w:eastAsia="zh-CN" w:bidi="hi-IN"/>
    </w:rPr>
  </w:style>
  <w:style w:type="character" w:styleId="Marquedecommentaire">
    <w:name w:val="annotation reference"/>
    <w:basedOn w:val="Policepardfaut"/>
    <w:rsid w:val="00765FF0"/>
    <w:rPr>
      <w:sz w:val="16"/>
      <w:szCs w:val="16"/>
    </w:rPr>
  </w:style>
  <w:style w:type="paragraph" w:styleId="Textedebulles">
    <w:name w:val="Balloon Text"/>
    <w:basedOn w:val="Normal"/>
    <w:link w:val="TextedebullesCar"/>
    <w:rsid w:val="005E4242"/>
    <w:rPr>
      <w:rFonts w:ascii="Tahoma" w:hAnsi="Tahoma"/>
      <w:sz w:val="16"/>
      <w:szCs w:val="14"/>
    </w:rPr>
  </w:style>
  <w:style w:type="character" w:customStyle="1" w:styleId="TextedebullesCar">
    <w:name w:val="Texte de bulles Car"/>
    <w:basedOn w:val="Policepardfaut"/>
    <w:link w:val="Textedebulles"/>
    <w:rsid w:val="005E4242"/>
    <w:rPr>
      <w:rFonts w:ascii="Tahoma" w:eastAsia="SimSun" w:hAnsi="Tahoma" w:cs="Mangal"/>
      <w:kern w:val="1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zh-CN" w:bidi="hi-IN"/>
    </w:rPr>
  </w:style>
  <w:style w:type="paragraph" w:styleId="Titre1">
    <w:name w:val="heading 1"/>
    <w:basedOn w:val="Heading"/>
    <w:next w:val="Textbody"/>
    <w:qFormat/>
    <w:pPr>
      <w:numPr>
        <w:numId w:val="1"/>
      </w:numPr>
      <w:outlineLvl w:val="0"/>
    </w:pPr>
    <w:rPr>
      <w:b/>
      <w:bCs/>
    </w:rPr>
  </w:style>
  <w:style w:type="paragraph" w:styleId="Titre2">
    <w:name w:val="heading 2"/>
    <w:basedOn w:val="Heading"/>
    <w:next w:val="Textbody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paragraph" w:styleId="Titre3">
    <w:name w:val="heading 3"/>
    <w:basedOn w:val="Heading"/>
    <w:next w:val="Textbody"/>
    <w:qFormat/>
    <w:pPr>
      <w:numPr>
        <w:ilvl w:val="2"/>
        <w:numId w:val="1"/>
      </w:numPr>
      <w:outlineLvl w:val="2"/>
    </w:pPr>
    <w:rPr>
      <w:b/>
      <w:bCs/>
    </w:rPr>
  </w:style>
  <w:style w:type="paragraph" w:styleId="Titre4">
    <w:name w:val="heading 4"/>
    <w:basedOn w:val="Normal"/>
    <w:next w:val="Normal"/>
    <w:link w:val="Titre4Car"/>
    <w:semiHidden/>
    <w:unhideWhenUsed/>
    <w:qFormat/>
    <w:rsid w:val="00445BC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ascii="Symbol" w:eastAsia="Times New Roman" w:hAnsi="Symbol" w:cs="Verdana"/>
    </w:rPr>
  </w:style>
  <w:style w:type="character" w:customStyle="1" w:styleId="WW8Num1z1">
    <w:name w:val="WW8Num1z1"/>
    <w:rPr>
      <w:rFonts w:ascii="OpenSymbol" w:hAnsi="OpenSymbol" w:cs="Courier New"/>
    </w:rPr>
  </w:style>
  <w:style w:type="character" w:customStyle="1" w:styleId="WW8Num2z0">
    <w:name w:val="WW8Num2z0"/>
    <w:rPr>
      <w:rFonts w:ascii="Verdana" w:eastAsia="SimSun" w:hAnsi="Verdana" w:cs="Manga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4z0">
    <w:name w:val="WW8Num4z0"/>
    <w:rPr>
      <w:rFonts w:ascii="Verdana" w:eastAsia="Times New Roman" w:hAnsi="Verdana" w:cs="Verdana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OpenSymbol"/>
    </w:rPr>
  </w:style>
  <w:style w:type="character" w:customStyle="1" w:styleId="WW8Num5z1">
    <w:name w:val="WW8Num5z1"/>
    <w:rPr>
      <w:rFonts w:ascii="OpenSymbol" w:hAnsi="OpenSymbol" w:cs="OpenSymbol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0">
    <w:name w:val="WW8Num6z0"/>
    <w:rPr>
      <w:rFonts w:ascii="Symbol" w:hAnsi="Symbol" w:cs="OpenSymbol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Policepardfaut1">
    <w:name w:val="Police par défaut1"/>
  </w:style>
  <w:style w:type="character" w:customStyle="1" w:styleId="NumberingSymbols">
    <w:name w:val="Numbering Symbols"/>
    <w:rPr>
      <w:b/>
      <w:bCs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En-tteCar">
    <w:name w:val="En-tête Car"/>
    <w:rPr>
      <w:szCs w:val="21"/>
    </w:rPr>
  </w:style>
  <w:style w:type="character" w:styleId="Numrodepage">
    <w:name w:val="page number"/>
    <w:basedOn w:val="Policepardfaut1"/>
  </w:style>
  <w:style w:type="character" w:customStyle="1" w:styleId="Puces">
    <w:name w:val="Puces"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Textbody"/>
  </w:style>
  <w:style w:type="paragraph" w:styleId="Lgende">
    <w:name w:val="caption"/>
    <w:basedOn w:val="WW-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WW-Standard"/>
    <w:pPr>
      <w:suppressLineNumbers/>
    </w:pPr>
  </w:style>
  <w:style w:type="paragraph" w:customStyle="1" w:styleId="WW-Standard">
    <w:name w:val="WW-Standard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Heading">
    <w:name w:val="Heading"/>
    <w:basedOn w:val="WW-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WW-Standard"/>
    <w:pPr>
      <w:spacing w:after="120"/>
    </w:pPr>
  </w:style>
  <w:style w:type="paragraph" w:styleId="Pieddepage">
    <w:name w:val="footer"/>
    <w:basedOn w:val="WW-Standard"/>
    <w:pPr>
      <w:suppressLineNumbers/>
    </w:pPr>
  </w:style>
  <w:style w:type="paragraph" w:customStyle="1" w:styleId="TableContents">
    <w:name w:val="Table Contents"/>
    <w:basedOn w:val="WW-Standard"/>
    <w:pPr>
      <w:suppressLineNumbers/>
    </w:pPr>
  </w:style>
  <w:style w:type="paragraph" w:styleId="En-tte">
    <w:name w:val="header"/>
    <w:basedOn w:val="Normal"/>
    <w:rPr>
      <w:szCs w:val="21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table" w:styleId="Grilledutableau">
    <w:name w:val="Table Grid"/>
    <w:basedOn w:val="TableauNormal"/>
    <w:rsid w:val="00450F2B"/>
    <w:pPr>
      <w:widowControl w:val="0"/>
      <w:suppressAutoHyphens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ED7F39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NormalWeb">
    <w:name w:val="Normal (Web)"/>
    <w:basedOn w:val="Normal"/>
    <w:uiPriority w:val="99"/>
    <w:unhideWhenUsed/>
    <w:rsid w:val="009910D0"/>
    <w:pPr>
      <w:widowControl/>
      <w:suppressAutoHyphens w:val="0"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fr-FR" w:bidi="ar-SA"/>
    </w:rPr>
  </w:style>
  <w:style w:type="character" w:customStyle="1" w:styleId="Titre4Car">
    <w:name w:val="Titre 4 Car"/>
    <w:basedOn w:val="Policepardfaut"/>
    <w:link w:val="Titre4"/>
    <w:semiHidden/>
    <w:rsid w:val="00445BC6"/>
    <w:rPr>
      <w:rFonts w:asciiTheme="majorHAnsi" w:eastAsiaTheme="majorEastAsia" w:hAnsiTheme="majorHAnsi" w:cstheme="majorBidi"/>
      <w:b/>
      <w:bCs/>
      <w:i/>
      <w:iCs/>
      <w:color w:val="4F81BD" w:themeColor="accent1"/>
      <w:kern w:val="1"/>
      <w:sz w:val="24"/>
      <w:szCs w:val="24"/>
      <w:lang w:eastAsia="zh-CN" w:bidi="hi-IN"/>
    </w:rPr>
  </w:style>
  <w:style w:type="paragraph" w:styleId="Paragraphedeliste">
    <w:name w:val="List Paragraph"/>
    <w:basedOn w:val="Normal"/>
    <w:uiPriority w:val="34"/>
    <w:qFormat/>
    <w:rsid w:val="00445BC6"/>
    <w:pPr>
      <w:widowControl/>
      <w:suppressAutoHyphens w:val="0"/>
      <w:spacing w:line="300" w:lineRule="auto"/>
      <w:ind w:left="720"/>
      <w:contextualSpacing/>
      <w:jc w:val="both"/>
      <w:textAlignment w:val="auto"/>
    </w:pPr>
    <w:rPr>
      <w:rFonts w:ascii="Verdana" w:eastAsia="Times New Roman" w:hAnsi="Verdana" w:cs="Times New Roman"/>
      <w:kern w:val="0"/>
      <w:sz w:val="18"/>
      <w:szCs w:val="18"/>
      <w:lang w:eastAsia="fr-FR" w:bidi="ar-SA"/>
    </w:rPr>
  </w:style>
  <w:style w:type="paragraph" w:styleId="Commentaire">
    <w:name w:val="annotation text"/>
    <w:basedOn w:val="Normal"/>
    <w:link w:val="CommentaireCar"/>
    <w:rPr>
      <w:sz w:val="20"/>
      <w:szCs w:val="18"/>
    </w:rPr>
  </w:style>
  <w:style w:type="character" w:customStyle="1" w:styleId="CommentaireCar">
    <w:name w:val="Commentaire Car"/>
    <w:basedOn w:val="Policepardfaut"/>
    <w:link w:val="Commentaire"/>
    <w:rPr>
      <w:rFonts w:eastAsia="SimSun" w:cs="Mangal"/>
      <w:kern w:val="1"/>
      <w:szCs w:val="18"/>
      <w:lang w:eastAsia="zh-CN" w:bidi="hi-IN"/>
    </w:rPr>
  </w:style>
  <w:style w:type="character" w:styleId="Marquedecommentaire">
    <w:name w:val="annotation reference"/>
    <w:basedOn w:val="Policepardfaut"/>
    <w:rPr>
      <w:sz w:val="16"/>
      <w:szCs w:val="16"/>
    </w:rPr>
  </w:style>
  <w:style w:type="paragraph" w:styleId="Textedebulles">
    <w:name w:val="Balloon Text"/>
    <w:basedOn w:val="Normal"/>
    <w:link w:val="TextedebullesCar"/>
    <w:rsid w:val="005E4242"/>
    <w:rPr>
      <w:rFonts w:ascii="Tahoma" w:hAnsi="Tahoma"/>
      <w:sz w:val="16"/>
      <w:szCs w:val="14"/>
    </w:rPr>
  </w:style>
  <w:style w:type="character" w:customStyle="1" w:styleId="TextedebullesCar">
    <w:name w:val="Texte de bulles Car"/>
    <w:basedOn w:val="Policepardfaut"/>
    <w:link w:val="Textedebulles"/>
    <w:rsid w:val="005E4242"/>
    <w:rPr>
      <w:rFonts w:ascii="Tahoma" w:eastAsia="SimSun" w:hAnsi="Tahoma" w:cs="Mangal"/>
      <w:kern w:val="1"/>
      <w:sz w:val="16"/>
      <w:szCs w:val="1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4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0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4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3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7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0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4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7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3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33745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7826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0746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51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7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microsoft.com/office/2007/relationships/stylesWithEffects" Target="stylesWithEffects.xml"/><Relationship Id="rId3" Type="http://schemas.openxmlformats.org/officeDocument/2006/relationships/customXml" Target="../customXml/item3.xml"/><Relationship Id="R09075e7d2ff04c30" Type="http://schemas.microsoft.com/office/2011/relationships/people" Target="people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fd52f28c07a44765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4D5F1315472C449DC7F3D5453E08EE" ma:contentTypeVersion="2" ma:contentTypeDescription="Crée un document." ma:contentTypeScope="" ma:versionID="83ca13e1ae11e557d610dfa47c2ac8a8">
  <xsd:schema xmlns:xsd="http://www.w3.org/2001/XMLSchema" xmlns:xs="http://www.w3.org/2001/XMLSchema" xmlns:p="http://schemas.microsoft.com/office/2006/metadata/properties" xmlns:ns2="c9f4b70c-db7f-4fd0-9b1d-ebaa300a76cc" targetNamespace="http://schemas.microsoft.com/office/2006/metadata/properties" ma:root="true" ma:fieldsID="7b2878665820b16b41fa788e0d90a871" ns2:_="">
    <xsd:import namespace="c9f4b70c-db7f-4fd0-9b1d-ebaa300a76c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f4b70c-db7f-4fd0-9b1d-ebaa300a76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A2212D2-DDEA-46CC-9535-9AFEB87C9211}">
  <ds:schemaRefs>
    <ds:schemaRef ds:uri="http://schemas.microsoft.com/office/2006/metadata/properties"/>
    <ds:schemaRef ds:uri="http://schemas.microsoft.com/office/2006/documentManagement/types"/>
    <ds:schemaRef ds:uri="http://purl.org/dc/dcmitype/"/>
    <ds:schemaRef ds:uri="c9f4b70c-db7f-4fd0-9b1d-ebaa300a76cc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23292A90-786B-4DA3-BEED-4204451432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f4b70c-db7f-4fd0-9b1d-ebaa300a7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99BD461-588D-42EC-9903-AAC935B22B4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490</TotalTime>
  <Pages>2</Pages>
  <Words>806</Words>
  <Characters>4434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FICHE ACTION TYPE</vt:lpstr>
    </vt:vector>
  </TitlesOfParts>
  <Company>Ministère de la Santé</Company>
  <LinksUpToDate>false</LinksUpToDate>
  <CharactersWithSpaces>5230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FICHE ACTION TYPE</dc:title>
  <dc:creator>MONTIGNY henri</dc:creator>
  <cp:lastModifiedBy>R.V. (DDCS) </cp:lastModifiedBy>
  <cp:revision>13</cp:revision>
  <cp:lastPrinted>2015-05-27T07:28:00Z</cp:lastPrinted>
  <dcterms:created xsi:type="dcterms:W3CDTF">2017-10-20T14:31:00Z</dcterms:created>
  <dcterms:modified xsi:type="dcterms:W3CDTF">2017-11-07T15:08:00Z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0x010100FE4D5F1315472C449DC7F3D5453E08EE</vt:lpwstr>
  </property>
</Properties>
</file>