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28" w:rsidRDefault="00EF0245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EC1801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4.</w:t>
      </w:r>
      <w:r w:rsidR="00AA2414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2</w:t>
      </w:r>
      <w:r w:rsidR="002D0912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.</w:t>
      </w:r>
      <w:r w:rsidR="009A12B9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3</w:t>
      </w:r>
      <w:r w:rsidR="00B80797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 </w:t>
      </w:r>
      <w:r w:rsidR="00B80797" w:rsidRPr="00617FC3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(version 2017</w:t>
      </w:r>
      <w:r w:rsidR="00B80797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)</w:t>
      </w:r>
    </w:p>
    <w:p w:rsidR="00571428" w:rsidRDefault="00F51719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F51719">
        <w:rPr>
          <w:rFonts w:ascii="Verdana" w:hAnsi="Verdana" w:cs="Verdana"/>
          <w:b/>
          <w:bCs/>
          <w:color w:val="FFFFFF"/>
          <w:sz w:val="28"/>
          <w:szCs w:val="28"/>
        </w:rPr>
        <w:t>Favoriser l'accès au droit</w:t>
      </w:r>
    </w:p>
    <w:p w:rsidR="00571428" w:rsidRDefault="00571428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8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936"/>
        <w:gridCol w:w="6945"/>
      </w:tblGrid>
      <w:tr w:rsidR="00571428" w:rsidTr="00004ED9">
        <w:trPr>
          <w:trHeight w:val="754"/>
        </w:trPr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4C7838" w:rsidRDefault="004C7838" w:rsidP="004C7838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 4 Valeur</w:t>
            </w:r>
            <w:r w:rsidR="00B8079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de la République</w:t>
            </w:r>
          </w:p>
          <w:p w:rsidR="00571428" w:rsidRDefault="00004ED9" w:rsidP="004C7838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 2</w:t>
            </w:r>
            <w:r w:rsidR="004C783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 w:rsidR="00627632" w:rsidRPr="0062763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Lutter contre l'insécurité et promouvoir le respect du droit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 w:rsidP="009D256C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</w:t>
            </w:r>
            <w:r w:rsidR="009D256C" w:rsidRPr="009D256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assurer l’égalité devant la loi</w:t>
            </w:r>
          </w:p>
        </w:tc>
      </w:tr>
    </w:tbl>
    <w:p w:rsidR="00571428" w:rsidRDefault="00571428" w:rsidP="00EF0245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" w:type="dxa"/>
          <w:right w:w="10" w:type="dxa"/>
        </w:tblCellMar>
        <w:tblLook w:val="04A0"/>
      </w:tblPr>
      <w:tblGrid>
        <w:gridCol w:w="3909"/>
        <w:gridCol w:w="6945"/>
      </w:tblGrid>
      <w:tr w:rsidR="00571428" w:rsidTr="00004ED9">
        <w:trPr>
          <w:trHeight w:val="150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D95D38" w:rsidRPr="00592365" w:rsidRDefault="00B80797" w:rsidP="00592365">
            <w:pPr>
              <w:pStyle w:val="TableContents"/>
              <w:jc w:val="both"/>
            </w:pPr>
            <w:r>
              <w:t>L</w:t>
            </w:r>
            <w:r w:rsidR="00D64990" w:rsidRPr="00D64990">
              <w:t xml:space="preserve">es catégories sociales les moins favorisées sont aussi celles qui sont le moins </w:t>
            </w:r>
            <w:r w:rsidR="00C84949">
              <w:t>disposées</w:t>
            </w:r>
            <w:r w:rsidR="00C84949" w:rsidRPr="00D64990">
              <w:t xml:space="preserve"> </w:t>
            </w:r>
            <w:r w:rsidR="00D64990" w:rsidRPr="00D64990">
              <w:t>à faire valoir leurs droits</w:t>
            </w:r>
            <w:r w:rsidR="00C84949">
              <w:t xml:space="preserve"> en justice</w:t>
            </w:r>
            <w:r w:rsidR="00D64990" w:rsidRPr="00D64990">
              <w:t>. « </w:t>
            </w:r>
            <w:r w:rsidR="00D64990" w:rsidRPr="00E30329">
              <w:rPr>
                <w:i/>
              </w:rPr>
              <w:t>Il s'agit donc d'amener la justice au citoyen et pas l'inverse</w:t>
            </w:r>
            <w:r w:rsidR="00D64990">
              <w:rPr>
                <w:rStyle w:val="Appelnotedebasdep"/>
              </w:rPr>
              <w:footnoteReference w:id="1"/>
            </w:r>
            <w:r w:rsidR="00D64990" w:rsidRPr="00D64990">
              <w:t> ».</w:t>
            </w:r>
          </w:p>
        </w:tc>
      </w:tr>
      <w:tr w:rsidR="00571428" w:rsidTr="00004ED9">
        <w:trPr>
          <w:trHeight w:val="142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D66867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:rsidR="00571428" w:rsidRDefault="00571428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B80797" w:rsidRPr="00B80797" w:rsidRDefault="00B80797" w:rsidP="00B80797">
            <w:pPr>
              <w:pStyle w:val="TableContents"/>
              <w:numPr>
                <w:ilvl w:val="0"/>
                <w:numId w:val="4"/>
              </w:numPr>
            </w:pPr>
            <w:r w:rsidRPr="00B80797">
              <w:t>Faire connaître les dispositifs et les acteurs intervenant dans le domaine de la conciliation et de la médiation</w:t>
            </w:r>
            <w:r w:rsidRPr="00B80797" w:rsidDel="00B80797">
              <w:t xml:space="preserve"> </w:t>
            </w:r>
          </w:p>
          <w:p w:rsidR="003628F1" w:rsidRDefault="003628F1" w:rsidP="003628F1">
            <w:pPr>
              <w:pStyle w:val="TableContents"/>
            </w:pPr>
            <w:r>
              <w:t>De manière spécifique pour les habitants des quartiers politique de la ville :</w:t>
            </w:r>
          </w:p>
          <w:p w:rsidR="0085424F" w:rsidRPr="0085424F" w:rsidRDefault="0085424F" w:rsidP="0085424F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 w:rsidRPr="0085424F">
              <w:t xml:space="preserve">Informer </w:t>
            </w:r>
            <w:r w:rsidR="00C84949">
              <w:t xml:space="preserve">et conseiller </w:t>
            </w:r>
            <w:r w:rsidRPr="0085424F">
              <w:t xml:space="preserve">gratuitement les citoyens, </w:t>
            </w:r>
          </w:p>
          <w:p w:rsidR="0085424F" w:rsidRPr="0085424F" w:rsidRDefault="0085424F" w:rsidP="0085424F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 w:rsidRPr="0085424F">
              <w:t>Développer le recours à la conciliation et à la médiation</w:t>
            </w:r>
          </w:p>
          <w:p w:rsidR="00B80797" w:rsidRPr="00B80797" w:rsidRDefault="0085424F" w:rsidP="00B80797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 w:rsidRPr="00B80797">
              <w:t>Mettre en place l’aide aux victimes.</w:t>
            </w:r>
          </w:p>
        </w:tc>
      </w:tr>
      <w:tr w:rsidR="00571428" w:rsidTr="00004ED9">
        <w:trPr>
          <w:trHeight w:val="170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:rsidR="00571428" w:rsidRDefault="00571428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A58D0" w:rsidRDefault="002A58D0" w:rsidP="002A58D0">
            <w:pPr>
              <w:pStyle w:val="TableContents"/>
            </w:pPr>
            <w:r>
              <w:t>Permettre aux habitants des quartiers de la politique de la ville de bénéficier des services de droit commun existants, à savoir :</w:t>
            </w:r>
          </w:p>
          <w:p w:rsidR="00C84949" w:rsidRPr="00B80797" w:rsidRDefault="002A58D0" w:rsidP="00055283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>
              <w:t>L</w:t>
            </w:r>
            <w:r w:rsidR="00594D1D">
              <w:t>es p</w:t>
            </w:r>
            <w:r w:rsidR="00C84949" w:rsidRPr="00B80797">
              <w:t>ermanences juridiques gratuite</w:t>
            </w:r>
            <w:r w:rsidR="00594D1D">
              <w:t>s</w:t>
            </w:r>
          </w:p>
          <w:p w:rsidR="00594D1D" w:rsidRDefault="002A58D0" w:rsidP="00055283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>
              <w:t>Le</w:t>
            </w:r>
            <w:r w:rsidR="00594D1D">
              <w:t xml:space="preserve"> soutien </w:t>
            </w:r>
            <w:r>
              <w:t>aux victimes</w:t>
            </w:r>
          </w:p>
          <w:p w:rsidR="00594D1D" w:rsidRPr="00B80797" w:rsidRDefault="002A58D0" w:rsidP="002A58D0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>
              <w:t>L'a</w:t>
            </w:r>
            <w:r w:rsidR="00594D1D" w:rsidRPr="00B80797">
              <w:t>ccompagne</w:t>
            </w:r>
            <w:r>
              <w:t>ment</w:t>
            </w:r>
            <w:r w:rsidR="00594D1D">
              <w:t xml:space="preserve"> </w:t>
            </w:r>
            <w:r>
              <w:t>d</w:t>
            </w:r>
            <w:r w:rsidR="00594D1D" w:rsidRPr="00B80797">
              <w:t xml:space="preserve">es citoyens dans leurs démarches devant la Justice </w:t>
            </w:r>
          </w:p>
        </w:tc>
      </w:tr>
      <w:tr w:rsidR="00571428" w:rsidTr="00004ED9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1845DD" w:rsidRDefault="001845DD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 w:rsidRPr="001845DD">
              <w:t>Réduire les tensions soc</w:t>
            </w:r>
            <w:r w:rsidR="003628F1">
              <w:t>iales</w:t>
            </w:r>
            <w:r>
              <w:t xml:space="preserve"> e</w:t>
            </w:r>
            <w:r w:rsidRPr="001845DD">
              <w:t>t prévenir les litiges</w:t>
            </w:r>
          </w:p>
          <w:p w:rsidR="00571428" w:rsidRPr="00EF0245" w:rsidRDefault="00F22B58" w:rsidP="00F22B58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A</w:t>
            </w:r>
            <w:r w:rsidRPr="0085424F">
              <w:t>ssurer l’égalité devant la loi, lutter contre les exclusions et de réduire le sentiment d’insécurité.</w:t>
            </w:r>
          </w:p>
        </w:tc>
      </w:tr>
      <w:tr w:rsidR="00571428" w:rsidTr="00004ED9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4D3D82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A l’échelle de la Métropole, couverture de tous les quartiers</w:t>
            </w:r>
          </w:p>
        </w:tc>
      </w:tr>
      <w:tr w:rsidR="00571428" w:rsidTr="00004ED9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1C2F90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Préfecture</w:t>
            </w:r>
          </w:p>
        </w:tc>
      </w:tr>
      <w:tr w:rsidR="00571428" w:rsidTr="00004ED9">
        <w:trPr>
          <w:trHeight w:val="95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EF0245" w:rsidRDefault="001C2F90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Magistrats</w:t>
            </w:r>
          </w:p>
        </w:tc>
      </w:tr>
      <w:tr w:rsidR="00571428" w:rsidTr="00004ED9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571428" w:rsidRDefault="00571428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BF4F2B" w:rsidP="00055283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>
              <w:t>FIPD</w:t>
            </w:r>
          </w:p>
          <w:p w:rsidR="00BF4F2B" w:rsidRDefault="00B43530" w:rsidP="00055283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>
              <w:t>Crédits de la politique de la ville (</w:t>
            </w:r>
            <w:r w:rsidR="00BF4F2B">
              <w:t>BOP 147</w:t>
            </w:r>
            <w:r>
              <w:t>)</w:t>
            </w:r>
          </w:p>
          <w:p w:rsidR="00B26975" w:rsidRPr="00EF0245" w:rsidRDefault="00B26975" w:rsidP="00055283">
            <w:pPr>
              <w:pStyle w:val="TableContents"/>
              <w:numPr>
                <w:ilvl w:val="0"/>
                <w:numId w:val="1"/>
              </w:numPr>
              <w:ind w:left="714" w:hanging="357"/>
            </w:pPr>
            <w:r>
              <w:t>Villes</w:t>
            </w:r>
          </w:p>
        </w:tc>
        <w:bookmarkStart w:id="0" w:name="_GoBack"/>
        <w:bookmarkEnd w:id="0"/>
      </w:tr>
      <w:tr w:rsidR="00571428" w:rsidTr="00004ED9">
        <w:trPr>
          <w:trHeight w:val="272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B43530" w:rsidRPr="000B0B12" w:rsidRDefault="00B43530" w:rsidP="00B43530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Actions annuelles</w:t>
            </w:r>
          </w:p>
        </w:tc>
      </w:tr>
      <w:tr w:rsidR="00571428" w:rsidTr="00004ED9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B50149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Nombre de bénéficiaires</w:t>
            </w:r>
            <w:r w:rsidR="003628F1">
              <w:t xml:space="preserve"> par type d’intervention (accueil / accompagnement)</w:t>
            </w:r>
          </w:p>
        </w:tc>
      </w:tr>
      <w:tr w:rsidR="00220E48" w:rsidTr="00004ED9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Default="00220E48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Pr="000B0B12" w:rsidRDefault="00220E48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</w:p>
        </w:tc>
      </w:tr>
      <w:tr w:rsidR="00571428" w:rsidTr="00004ED9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F103E3" w:rsidRDefault="006745A6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color w:val="FF0000"/>
              </w:rPr>
            </w:pPr>
            <w:r w:rsidRPr="00F103E3">
              <w:rPr>
                <w:color w:val="FF0000"/>
              </w:rPr>
              <w:t>4.2.3 Lutter contre le sentiment de délaissement</w:t>
            </w:r>
          </w:p>
        </w:tc>
      </w:tr>
    </w:tbl>
    <w:p w:rsidR="00571428" w:rsidRDefault="00571428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sectPr w:rsidR="00571428" w:rsidSect="00571428">
      <w:footerReference w:type="default" r:id="rId8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FB6" w:rsidRDefault="00193FB6" w:rsidP="00571428">
      <w:r>
        <w:separator/>
      </w:r>
    </w:p>
  </w:endnote>
  <w:endnote w:type="continuationSeparator" w:id="0">
    <w:p w:rsidR="00193FB6" w:rsidRDefault="00193FB6" w:rsidP="0057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365" w:rsidRDefault="00592365" w:rsidP="00B80797">
    <w:pPr>
      <w:pStyle w:val="Pieddepage"/>
      <w:jc w:val="right"/>
      <w:rPr>
        <w:rFonts w:ascii="Verdana" w:hAnsi="Verdana" w:cs="Verdana"/>
        <w:sz w:val="16"/>
        <w:szCs w:val="16"/>
      </w:rPr>
    </w:pPr>
  </w:p>
  <w:p w:rsidR="00B80797" w:rsidRDefault="00B80797" w:rsidP="00B80797">
    <w:pPr>
      <w:pStyle w:val="Pieddepage"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 - Fiche orientation opérationnelle</w:t>
    </w:r>
  </w:p>
  <w:p w:rsidR="00B80797" w:rsidRDefault="00B80797" w:rsidP="00B80797">
    <w:pPr>
      <w:pStyle w:val="Pieddepage"/>
      <w:jc w:val="right"/>
    </w:pPr>
    <w:r>
      <w:rPr>
        <w:rFonts w:ascii="Verdana" w:hAnsi="Verdana" w:cs="Verdana"/>
        <w:sz w:val="16"/>
        <w:szCs w:val="16"/>
      </w:rPr>
      <w:t xml:space="preserve">Date de mise à jour : 15 novembre 2017 </w:t>
    </w:r>
  </w:p>
  <w:p w:rsidR="000F25FA" w:rsidRDefault="000F25FA">
    <w:pPr>
      <w:pStyle w:val="Pieddepage1"/>
      <w:widowControl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FB6" w:rsidRDefault="00193FB6" w:rsidP="00571428">
      <w:r>
        <w:separator/>
      </w:r>
    </w:p>
  </w:footnote>
  <w:footnote w:type="continuationSeparator" w:id="0">
    <w:p w:rsidR="00193FB6" w:rsidRDefault="00193FB6" w:rsidP="00571428">
      <w:r>
        <w:continuationSeparator/>
      </w:r>
    </w:p>
  </w:footnote>
  <w:footnote w:id="1">
    <w:p w:rsidR="00D64990" w:rsidRDefault="00D64990">
      <w:pPr>
        <w:pStyle w:val="Notedebasdepage"/>
      </w:pPr>
      <w:r>
        <w:rPr>
          <w:rStyle w:val="Appelnotedebasdep"/>
        </w:rPr>
        <w:footnoteRef/>
      </w:r>
      <w:r>
        <w:t xml:space="preserve"> Mme Catherine </w:t>
      </w:r>
      <w:proofErr w:type="spellStart"/>
      <w:r>
        <w:t>Jeanpierre</w:t>
      </w:r>
      <w:proofErr w:type="spellEnd"/>
      <w:r>
        <w:t>-</w:t>
      </w:r>
      <w:proofErr w:type="spellStart"/>
      <w:r>
        <w:t>Cléva</w:t>
      </w:r>
      <w:proofErr w:type="spellEnd"/>
      <w:r>
        <w:t>, présidente du Tribu</w:t>
      </w:r>
      <w:r w:rsidR="00592365">
        <w:t>nal de Grande Instance de Tours -</w:t>
      </w:r>
      <w:r>
        <w:t xml:space="preserve"> Nouvelle république du 17 juin 2016.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148"/>
    <w:multiLevelType w:val="hybridMultilevel"/>
    <w:tmpl w:val="73D89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07A2"/>
    <w:multiLevelType w:val="hybridMultilevel"/>
    <w:tmpl w:val="DD26AC26"/>
    <w:lvl w:ilvl="0" w:tplc="5B3C943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A4E52"/>
    <w:multiLevelType w:val="multilevel"/>
    <w:tmpl w:val="B712DC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D061457"/>
    <w:multiLevelType w:val="multilevel"/>
    <w:tmpl w:val="66A68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428"/>
    <w:rsid w:val="00004ED9"/>
    <w:rsid w:val="00007688"/>
    <w:rsid w:val="00013FCA"/>
    <w:rsid w:val="00017057"/>
    <w:rsid w:val="00055283"/>
    <w:rsid w:val="000B0B12"/>
    <w:rsid w:val="000E49DF"/>
    <w:rsid w:val="000F25FA"/>
    <w:rsid w:val="001664DC"/>
    <w:rsid w:val="001845DD"/>
    <w:rsid w:val="00193FB6"/>
    <w:rsid w:val="001C2F90"/>
    <w:rsid w:val="00214605"/>
    <w:rsid w:val="00220E48"/>
    <w:rsid w:val="002267AC"/>
    <w:rsid w:val="002801BA"/>
    <w:rsid w:val="002A58D0"/>
    <w:rsid w:val="002C638F"/>
    <w:rsid w:val="002D0912"/>
    <w:rsid w:val="003557D2"/>
    <w:rsid w:val="003628F1"/>
    <w:rsid w:val="00477293"/>
    <w:rsid w:val="004A2DE4"/>
    <w:rsid w:val="004B2E41"/>
    <w:rsid w:val="004C7838"/>
    <w:rsid w:val="004D3D82"/>
    <w:rsid w:val="004F7116"/>
    <w:rsid w:val="005259E0"/>
    <w:rsid w:val="00536AE8"/>
    <w:rsid w:val="00562E5F"/>
    <w:rsid w:val="00571428"/>
    <w:rsid w:val="00592365"/>
    <w:rsid w:val="00594D1D"/>
    <w:rsid w:val="005D6605"/>
    <w:rsid w:val="005F18DC"/>
    <w:rsid w:val="00624EE2"/>
    <w:rsid w:val="00627632"/>
    <w:rsid w:val="006540E8"/>
    <w:rsid w:val="006745A6"/>
    <w:rsid w:val="006E5FA4"/>
    <w:rsid w:val="007939D7"/>
    <w:rsid w:val="007948CF"/>
    <w:rsid w:val="0085424F"/>
    <w:rsid w:val="008C49CA"/>
    <w:rsid w:val="008D5D63"/>
    <w:rsid w:val="009A12B9"/>
    <w:rsid w:val="009D256C"/>
    <w:rsid w:val="009E0619"/>
    <w:rsid w:val="00AA2414"/>
    <w:rsid w:val="00AD3EED"/>
    <w:rsid w:val="00AF7581"/>
    <w:rsid w:val="00B26975"/>
    <w:rsid w:val="00B43530"/>
    <w:rsid w:val="00B50149"/>
    <w:rsid w:val="00B64EA0"/>
    <w:rsid w:val="00B80797"/>
    <w:rsid w:val="00BA06CF"/>
    <w:rsid w:val="00BF4F2B"/>
    <w:rsid w:val="00C60BD3"/>
    <w:rsid w:val="00C84949"/>
    <w:rsid w:val="00D204A5"/>
    <w:rsid w:val="00D64990"/>
    <w:rsid w:val="00D66867"/>
    <w:rsid w:val="00D95D38"/>
    <w:rsid w:val="00DA013F"/>
    <w:rsid w:val="00DE7DB3"/>
    <w:rsid w:val="00E30329"/>
    <w:rsid w:val="00E33B9B"/>
    <w:rsid w:val="00E34BB6"/>
    <w:rsid w:val="00EC1801"/>
    <w:rsid w:val="00EF0245"/>
    <w:rsid w:val="00F06AD5"/>
    <w:rsid w:val="00F103E3"/>
    <w:rsid w:val="00F22B58"/>
    <w:rsid w:val="00F51719"/>
    <w:rsid w:val="00F80962"/>
    <w:rsid w:val="00F9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1"/>
    <w:rsid w:val="005259E0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5259E0"/>
  </w:style>
  <w:style w:type="paragraph" w:styleId="Pieddepage">
    <w:name w:val="footer"/>
    <w:basedOn w:val="Normal"/>
    <w:link w:val="PieddepageCar"/>
    <w:uiPriority w:val="99"/>
    <w:rsid w:val="005259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59E0"/>
  </w:style>
  <w:style w:type="paragraph" w:styleId="Notedebasdepage">
    <w:name w:val="footnote text"/>
    <w:basedOn w:val="Normal"/>
    <w:link w:val="NotedebasdepageCar"/>
    <w:rsid w:val="00D64990"/>
  </w:style>
  <w:style w:type="character" w:customStyle="1" w:styleId="NotedebasdepageCar">
    <w:name w:val="Note de bas de page Car"/>
    <w:basedOn w:val="Policepardfaut"/>
    <w:link w:val="Notedebasdepage"/>
    <w:rsid w:val="00D64990"/>
  </w:style>
  <w:style w:type="character" w:styleId="Appelnotedebasdep">
    <w:name w:val="footnote reference"/>
    <w:basedOn w:val="Policepardfaut"/>
    <w:rsid w:val="00D64990"/>
    <w:rPr>
      <w:vertAlign w:val="superscript"/>
    </w:rPr>
  </w:style>
  <w:style w:type="character" w:styleId="Marquedecommentaire">
    <w:name w:val="annotation reference"/>
    <w:basedOn w:val="Policepardfaut"/>
    <w:rsid w:val="00B26975"/>
    <w:rPr>
      <w:sz w:val="16"/>
      <w:szCs w:val="16"/>
    </w:rPr>
  </w:style>
  <w:style w:type="paragraph" w:styleId="Commentaire">
    <w:name w:val="annotation text"/>
    <w:basedOn w:val="Normal"/>
    <w:link w:val="CommentaireCar"/>
    <w:rsid w:val="00B26975"/>
  </w:style>
  <w:style w:type="character" w:customStyle="1" w:styleId="CommentaireCar">
    <w:name w:val="Commentaire Car"/>
    <w:basedOn w:val="Policepardfaut"/>
    <w:link w:val="Commentaire"/>
    <w:rsid w:val="00B26975"/>
  </w:style>
  <w:style w:type="paragraph" w:styleId="Objetducommentaire">
    <w:name w:val="annotation subject"/>
    <w:basedOn w:val="Commentaire"/>
    <w:next w:val="Commentaire"/>
    <w:link w:val="ObjetducommentaireCar"/>
    <w:rsid w:val="00B269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6975"/>
    <w:rPr>
      <w:b/>
      <w:bCs/>
    </w:rPr>
  </w:style>
  <w:style w:type="paragraph" w:styleId="Textedebulles">
    <w:name w:val="Balloon Text"/>
    <w:basedOn w:val="Normal"/>
    <w:link w:val="TextedebullesCar"/>
    <w:rsid w:val="00B269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26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rsid w:val="005259E0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5259E0"/>
  </w:style>
  <w:style w:type="paragraph" w:styleId="Pieddepage">
    <w:name w:val="footer"/>
    <w:basedOn w:val="Normal"/>
    <w:link w:val="PieddepageCar"/>
    <w:rsid w:val="005259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259E0"/>
  </w:style>
  <w:style w:type="paragraph" w:styleId="Notedebasdepage">
    <w:name w:val="footnote text"/>
    <w:basedOn w:val="Normal"/>
    <w:link w:val="NotedebasdepageCar"/>
    <w:rsid w:val="00D64990"/>
  </w:style>
  <w:style w:type="character" w:customStyle="1" w:styleId="NotedebasdepageCar">
    <w:name w:val="Note de bas de page Car"/>
    <w:basedOn w:val="Policepardfaut"/>
    <w:link w:val="Notedebasdepage"/>
    <w:rsid w:val="00D64990"/>
  </w:style>
  <w:style w:type="character" w:styleId="Appelnotedebasdep">
    <w:name w:val="footnote reference"/>
    <w:basedOn w:val="Policepardfaut"/>
    <w:rsid w:val="00D64990"/>
    <w:rPr>
      <w:vertAlign w:val="superscript"/>
    </w:rPr>
  </w:style>
  <w:style w:type="character" w:styleId="Marquedecommentaire">
    <w:name w:val="annotation reference"/>
    <w:basedOn w:val="Policepardfaut"/>
    <w:rsid w:val="00B26975"/>
    <w:rPr>
      <w:sz w:val="16"/>
      <w:szCs w:val="16"/>
    </w:rPr>
  </w:style>
  <w:style w:type="paragraph" w:styleId="Commentaire">
    <w:name w:val="annotation text"/>
    <w:basedOn w:val="Normal"/>
    <w:link w:val="CommentaireCar"/>
    <w:rsid w:val="00B26975"/>
  </w:style>
  <w:style w:type="character" w:customStyle="1" w:styleId="CommentaireCar">
    <w:name w:val="Commentaire Car"/>
    <w:basedOn w:val="Policepardfaut"/>
    <w:link w:val="Commentaire"/>
    <w:rsid w:val="00B26975"/>
  </w:style>
  <w:style w:type="paragraph" w:styleId="Objetducommentaire">
    <w:name w:val="annotation subject"/>
    <w:basedOn w:val="Commentaire"/>
    <w:next w:val="Commentaire"/>
    <w:link w:val="ObjetducommentaireCar"/>
    <w:rsid w:val="00B269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26975"/>
    <w:rPr>
      <w:b/>
      <w:bCs/>
    </w:rPr>
  </w:style>
  <w:style w:type="paragraph" w:styleId="Textedebulles">
    <w:name w:val="Balloon Text"/>
    <w:basedOn w:val="Normal"/>
    <w:link w:val="TextedebullesCar"/>
    <w:rsid w:val="00B269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26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FC0EF-9274-428B-92A2-A04A395F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MSS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7</cp:revision>
  <cp:lastPrinted>2015-05-27T07:28:00Z</cp:lastPrinted>
  <dcterms:created xsi:type="dcterms:W3CDTF">2017-11-08T08:36:00Z</dcterms:created>
  <dcterms:modified xsi:type="dcterms:W3CDTF">2017-11-09T08:00:00Z</dcterms:modified>
  <dc:language>fr-FR</dc:language>
</cp:coreProperties>
</file>