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28E1A"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0A5AC9">
        <w:rPr>
          <w:rFonts w:ascii="Verdana" w:hAnsi="Verdana" w:cs="Verdana"/>
          <w:b/>
          <w:bCs/>
          <w:color w:val="17365D" w:themeColor="text2" w:themeShade="BF"/>
          <w:sz w:val="28"/>
          <w:szCs w:val="28"/>
        </w:rPr>
        <w:t>AT</w:t>
      </w:r>
      <w:r w:rsidR="00A8588E">
        <w:rPr>
          <w:rFonts w:ascii="Verdana" w:hAnsi="Verdana" w:cs="Verdana"/>
          <w:b/>
          <w:bCs/>
          <w:color w:val="17365D" w:themeColor="text2" w:themeShade="BF"/>
          <w:sz w:val="28"/>
          <w:szCs w:val="28"/>
        </w:rPr>
        <w:t>.</w:t>
      </w:r>
      <w:r w:rsidR="000A5AC9">
        <w:rPr>
          <w:rFonts w:ascii="Verdana" w:hAnsi="Verdana" w:cs="Verdana"/>
          <w:b/>
          <w:bCs/>
          <w:color w:val="17365D" w:themeColor="text2" w:themeShade="BF"/>
          <w:sz w:val="28"/>
          <w:szCs w:val="28"/>
        </w:rPr>
        <w:t>2.5</w:t>
      </w:r>
    </w:p>
    <w:p w14:paraId="4E907849" w14:textId="77777777" w:rsidR="00693146" w:rsidRPr="003C58D3" w:rsidRDefault="000A5AC9" w:rsidP="003C58D3">
      <w:pPr>
        <w:pStyle w:val="WW-Standard"/>
        <w:shd w:val="clear" w:color="auto" w:fill="1F497D"/>
        <w:spacing w:after="57"/>
        <w:jc w:val="center"/>
        <w:rPr>
          <w:rFonts w:ascii="Verdana" w:hAnsi="Verdana" w:cs="Verdana"/>
          <w:b/>
          <w:bCs/>
          <w:color w:val="FFFFFF"/>
          <w:sz w:val="28"/>
          <w:szCs w:val="28"/>
        </w:rPr>
      </w:pPr>
      <w:r w:rsidRPr="000A5AC9">
        <w:rPr>
          <w:rFonts w:ascii="Verdana" w:hAnsi="Verdana" w:cs="Verdana"/>
          <w:b/>
          <w:bCs/>
          <w:color w:val="FFFFFF"/>
          <w:sz w:val="28"/>
          <w:szCs w:val="28"/>
        </w:rPr>
        <w:t>FAVORISER L’ACCES AUX LOISIRS DONT LES PRA</w:t>
      </w:r>
      <w:r>
        <w:rPr>
          <w:rFonts w:ascii="Verdana" w:hAnsi="Verdana" w:cs="Verdana"/>
          <w:b/>
          <w:bCs/>
          <w:color w:val="FFFFFF"/>
          <w:sz w:val="28"/>
          <w:szCs w:val="28"/>
        </w:rPr>
        <w:t>TIQUES CULTURELLES ET SPORTIVES</w:t>
      </w:r>
    </w:p>
    <w:p w14:paraId="0B237FD4"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firstRow="1" w:lastRow="1" w:firstColumn="1" w:lastColumn="1" w:noHBand="0" w:noVBand="0"/>
      </w:tblPr>
      <w:tblGrid>
        <w:gridCol w:w="2235"/>
        <w:gridCol w:w="8646"/>
      </w:tblGrid>
      <w:tr w:rsidR="00611755" w:rsidRPr="00243AF9" w14:paraId="7C0C4640" w14:textId="77777777" w:rsidTr="005F0153">
        <w:trPr>
          <w:trHeight w:val="754"/>
        </w:trPr>
        <w:tc>
          <w:tcPr>
            <w:tcW w:w="2235" w:type="dxa"/>
            <w:shd w:val="clear" w:color="auto" w:fill="B8CCE4"/>
            <w:vAlign w:val="center"/>
          </w:tcPr>
          <w:p w14:paraId="3A27028A" w14:textId="77777777" w:rsidR="005F0153" w:rsidRPr="00243AF9" w:rsidRDefault="005F0153" w:rsidP="00BE4175">
            <w:pPr>
              <w:pStyle w:val="TableContents"/>
              <w:rPr>
                <w:rFonts w:ascii="Verdana" w:hAnsi="Verdana" w:cs="Verdana"/>
                <w:b/>
                <w:bCs/>
                <w:color w:val="1F497D"/>
                <w:sz w:val="20"/>
                <w:szCs w:val="20"/>
              </w:rPr>
            </w:pPr>
          </w:p>
        </w:tc>
        <w:tc>
          <w:tcPr>
            <w:tcW w:w="8646" w:type="dxa"/>
            <w:shd w:val="clear" w:color="auto" w:fill="B8CCE4"/>
            <w:vAlign w:val="center"/>
          </w:tcPr>
          <w:p w14:paraId="4C0F0839" w14:textId="77777777" w:rsidR="00611755" w:rsidRPr="00405EFC" w:rsidRDefault="00806B91" w:rsidP="00C048D6">
            <w:pPr>
              <w:pStyle w:val="TableContents"/>
              <w:rPr>
                <w:rFonts w:ascii="Verdana" w:hAnsi="Verdana" w:cs="Verdana"/>
                <w:b/>
                <w:bCs/>
                <w:color w:val="1F497D"/>
                <w:sz w:val="20"/>
                <w:szCs w:val="20"/>
              </w:rPr>
            </w:pPr>
            <w:r>
              <w:rPr>
                <w:rFonts w:ascii="Verdana" w:hAnsi="Verdana" w:cs="Verdana"/>
                <w:b/>
                <w:bCs/>
                <w:color w:val="1F497D"/>
                <w:sz w:val="20"/>
                <w:szCs w:val="20"/>
              </w:rPr>
              <w:t>Enjeu</w:t>
            </w:r>
            <w:r w:rsidR="00C048D6">
              <w:rPr>
                <w:rFonts w:ascii="Verdana" w:hAnsi="Verdana" w:cs="Verdana"/>
                <w:b/>
                <w:bCs/>
                <w:color w:val="1F497D"/>
                <w:sz w:val="20"/>
                <w:szCs w:val="20"/>
              </w:rPr>
              <w:t> transversal</w:t>
            </w:r>
            <w:r>
              <w:rPr>
                <w:rFonts w:ascii="Verdana" w:hAnsi="Verdana" w:cs="Verdana"/>
                <w:b/>
                <w:bCs/>
                <w:color w:val="1F497D"/>
                <w:sz w:val="20"/>
                <w:szCs w:val="20"/>
              </w:rPr>
              <w:t> </w:t>
            </w:r>
            <w:r w:rsidR="0029689F">
              <w:rPr>
                <w:rFonts w:ascii="Verdana" w:hAnsi="Verdana" w:cs="Verdana"/>
                <w:b/>
                <w:bCs/>
                <w:color w:val="1F497D"/>
                <w:sz w:val="20"/>
                <w:szCs w:val="20"/>
              </w:rPr>
              <w:t>Jeunesse</w:t>
            </w:r>
          </w:p>
        </w:tc>
      </w:tr>
    </w:tbl>
    <w:p w14:paraId="25B119FE" w14:textId="5F3FF8AD" w:rsidR="00611755" w:rsidRPr="00243AF9" w:rsidRDefault="00611755" w:rsidP="5F3FF8AD">
      <w:pPr>
        <w:pStyle w:val="WW-Standard"/>
        <w:spacing w:after="57"/>
        <w:jc w:val="both"/>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firstRow="0" w:lastRow="0" w:firstColumn="0" w:lastColumn="0" w:noHBand="0" w:noVBand="0"/>
      </w:tblPr>
      <w:tblGrid>
        <w:gridCol w:w="2390"/>
        <w:gridCol w:w="8464"/>
      </w:tblGrid>
      <w:tr w:rsidR="00611755" w:rsidRPr="00243AF9" w14:paraId="32027A7F" w14:textId="77777777" w:rsidTr="3124B52D">
        <w:trPr>
          <w:trHeight w:val="150"/>
        </w:trPr>
        <w:tc>
          <w:tcPr>
            <w:tcW w:w="2385" w:type="dxa"/>
            <w:shd w:val="clear" w:color="auto" w:fill="B8CCE4" w:themeFill="accent1" w:themeFillTint="66"/>
          </w:tcPr>
          <w:p w14:paraId="21E20056" w14:textId="1AA65DF0" w:rsidR="00611755" w:rsidRDefault="6832691E" w:rsidP="5F3FF8AD">
            <w:pPr>
              <w:pStyle w:val="TableContents"/>
              <w:snapToGrid w:val="0"/>
              <w:spacing w:before="120" w:after="120"/>
              <w:ind w:left="71" w:right="-10"/>
              <w:jc w:val="both"/>
              <w:rPr>
                <w:rFonts w:ascii="Verdana" w:hAnsi="Verdana" w:cs="Verdana"/>
                <w:b/>
                <w:bCs/>
                <w:color w:val="1F497D"/>
                <w:sz w:val="20"/>
                <w:szCs w:val="20"/>
              </w:rPr>
            </w:pPr>
            <w:r w:rsidRPr="6832691E">
              <w:rPr>
                <w:rFonts w:ascii="Verdana" w:eastAsia="Verdana" w:hAnsi="Verdana" w:cs="Verdana"/>
                <w:b/>
                <w:bCs/>
                <w:color w:val="1F487C"/>
                <w:sz w:val="20"/>
                <w:szCs w:val="20"/>
              </w:rPr>
              <w:t xml:space="preserve">Contexte </w:t>
            </w:r>
          </w:p>
          <w:p w14:paraId="6E945FF2" w14:textId="370F930F" w:rsidR="00611755" w:rsidRPr="00611755" w:rsidRDefault="00611755" w:rsidP="5F3FF8AD">
            <w:pPr>
              <w:pStyle w:val="TableContents"/>
              <w:snapToGrid w:val="0"/>
              <w:spacing w:before="120" w:after="120"/>
              <w:ind w:left="71" w:right="-10"/>
              <w:jc w:val="both"/>
              <w:rPr>
                <w:rFonts w:ascii="Verdana" w:hAnsi="Verdana" w:cs="Verdana"/>
                <w:bCs/>
                <w:i/>
                <w:color w:val="1F497D"/>
                <w:sz w:val="20"/>
                <w:szCs w:val="20"/>
              </w:rPr>
            </w:pPr>
          </w:p>
        </w:tc>
        <w:tc>
          <w:tcPr>
            <w:tcW w:w="8445" w:type="dxa"/>
            <w:shd w:val="clear" w:color="auto" w:fill="B8CCE4" w:themeFill="accent1" w:themeFillTint="66"/>
          </w:tcPr>
          <w:p w14:paraId="5C521D43" w14:textId="600731B0" w:rsidR="00611755" w:rsidRPr="00243AF9" w:rsidRDefault="3124B52D" w:rsidP="3124B52D">
            <w:pPr>
              <w:numPr>
                <w:ilvl w:val="0"/>
                <w:numId w:val="7"/>
              </w:numPr>
              <w:spacing w:after="160" w:line="259" w:lineRule="auto"/>
              <w:jc w:val="both"/>
              <w:rPr>
                <w:rFonts w:ascii="Verdana" w:eastAsia="Verdana" w:hAnsi="Verdana" w:cs="Verdana"/>
                <w:color w:val="002060"/>
                <w:sz w:val="20"/>
                <w:szCs w:val="20"/>
              </w:rPr>
            </w:pPr>
            <w:r w:rsidRPr="3124B52D">
              <w:rPr>
                <w:rFonts w:ascii="Verdana" w:eastAsia="Verdana" w:hAnsi="Verdana" w:cs="Verdana"/>
                <w:color w:val="002060"/>
                <w:sz w:val="20"/>
                <w:szCs w:val="20"/>
              </w:rPr>
              <w:t xml:space="preserve">La réforme des rythmes scolaires et éducatif, récemment mise en place pourra favoriser un accès plus égalitaire aux pratiques culturelles et sportives  des enfants de 3 à 11 ans, et aux ALSH. Elle a été engagée sur les communes de l'agglomération tourangelle avec des mises en œuvre différentes d'une commune à l'autre. Elle implique la mise en place de </w:t>
            </w:r>
            <w:proofErr w:type="spellStart"/>
            <w:r w:rsidRPr="3124B52D">
              <w:rPr>
                <w:rFonts w:ascii="Verdana" w:eastAsia="Verdana" w:hAnsi="Verdana" w:cs="Verdana"/>
                <w:color w:val="002060"/>
                <w:sz w:val="20"/>
                <w:szCs w:val="20"/>
              </w:rPr>
              <w:t>Tap</w:t>
            </w:r>
            <w:proofErr w:type="spellEnd"/>
            <w:r w:rsidRPr="3124B52D">
              <w:rPr>
                <w:rFonts w:ascii="Verdana" w:eastAsia="Verdana" w:hAnsi="Verdana" w:cs="Verdana"/>
                <w:color w:val="002060"/>
                <w:sz w:val="20"/>
                <w:szCs w:val="20"/>
              </w:rPr>
              <w:t xml:space="preserve"> (temps activités périscolaires) ou Nap (nouvelles activités périscolaires) </w:t>
            </w:r>
            <w:r w:rsidR="00C262D9">
              <w:rPr>
                <w:rFonts w:ascii="Verdana" w:eastAsia="Verdana" w:hAnsi="Verdana" w:cs="Verdana"/>
                <w:color w:val="002060"/>
                <w:sz w:val="20"/>
                <w:szCs w:val="20"/>
              </w:rPr>
              <w:t>devant</w:t>
            </w:r>
            <w:r w:rsidRPr="3124B52D">
              <w:rPr>
                <w:rFonts w:ascii="Verdana" w:eastAsia="Verdana" w:hAnsi="Verdana" w:cs="Verdana"/>
                <w:color w:val="002060"/>
                <w:sz w:val="20"/>
                <w:szCs w:val="20"/>
              </w:rPr>
              <w:t xml:space="preserve"> être conçues comme des temps de découverte/sensibilisation aux pratiques culturelles et sportives. Pour favoriser l'accès de tous, les barèmes des ALSH sont adaptés aux ressources des familles.                </w:t>
            </w:r>
          </w:p>
          <w:p w14:paraId="5B5DC037" w14:textId="0F0A1FE1" w:rsidR="00611755" w:rsidRPr="00243AF9" w:rsidRDefault="3124B52D" w:rsidP="3124B52D">
            <w:pPr>
              <w:numPr>
                <w:ilvl w:val="0"/>
                <w:numId w:val="7"/>
              </w:numPr>
              <w:spacing w:after="160" w:line="259" w:lineRule="auto"/>
              <w:jc w:val="both"/>
              <w:rPr>
                <w:rFonts w:ascii="Verdana" w:eastAsia="Verdana" w:hAnsi="Verdana" w:cs="Verdana"/>
                <w:color w:val="002060"/>
                <w:sz w:val="20"/>
                <w:szCs w:val="20"/>
              </w:rPr>
            </w:pPr>
            <w:r w:rsidRPr="3124B52D">
              <w:rPr>
                <w:rFonts w:ascii="Verdana" w:eastAsia="Verdana" w:hAnsi="Verdana" w:cs="Verdana"/>
                <w:color w:val="002060"/>
                <w:sz w:val="20"/>
                <w:szCs w:val="20"/>
              </w:rPr>
              <w:t xml:space="preserve">Pour les pré-adolescents ou des adolescents (12-17 ans), les structures associatives ou communales ont adapté l'offre de loisirs entre ALSH « passerelles » pour les pré-ados et "Accueils jeunes » pour les plus de 14 ans.  Le soutien aux projets ou loisirs collectifs de « jeunes » offre aussi une voie de diversification. Le renforcement de ces actions en la matière passe par un ciblage territorial. </w:t>
            </w:r>
          </w:p>
          <w:p w14:paraId="0AE6FEC2" w14:textId="1275C6A5" w:rsidR="00611755" w:rsidRPr="00243AF9" w:rsidRDefault="3124B52D" w:rsidP="6832691E">
            <w:pPr>
              <w:numPr>
                <w:ilvl w:val="0"/>
                <w:numId w:val="7"/>
              </w:numPr>
              <w:spacing w:before="120" w:after="120"/>
              <w:jc w:val="both"/>
              <w:rPr>
                <w:rFonts w:ascii="Verdana" w:eastAsia="Verdana" w:hAnsi="Verdana" w:cs="Verdana"/>
                <w:color w:val="002060"/>
                <w:sz w:val="20"/>
                <w:szCs w:val="20"/>
              </w:rPr>
            </w:pPr>
            <w:r w:rsidRPr="3124B52D">
              <w:rPr>
                <w:rFonts w:ascii="Verdana" w:eastAsia="Verdana" w:hAnsi="Verdana" w:cs="Verdana"/>
                <w:color w:val="002060"/>
                <w:sz w:val="20"/>
                <w:szCs w:val="20"/>
              </w:rPr>
              <w:t>Des dispositifs collectifs ou individuels (bons vacances notamment) d'aide existent et sont sous-utilisé</w:t>
            </w:r>
            <w:r w:rsidR="00C262D9">
              <w:rPr>
                <w:rFonts w:ascii="Verdana" w:eastAsia="Verdana" w:hAnsi="Verdana" w:cs="Verdana"/>
                <w:color w:val="002060"/>
                <w:sz w:val="20"/>
                <w:szCs w:val="20"/>
              </w:rPr>
              <w:t>s</w:t>
            </w:r>
            <w:r w:rsidRPr="3124B52D">
              <w:rPr>
                <w:rFonts w:ascii="Verdana" w:eastAsia="Verdana" w:hAnsi="Verdana" w:cs="Verdana"/>
                <w:color w:val="002060"/>
                <w:sz w:val="20"/>
                <w:szCs w:val="20"/>
              </w:rPr>
              <w:t xml:space="preserve"> par méconnaissance et de co-financement par les villes.</w:t>
            </w:r>
          </w:p>
          <w:p w14:paraId="250F834C" w14:textId="4B525B7E" w:rsidR="00611755" w:rsidRPr="00243AF9" w:rsidRDefault="6832691E" w:rsidP="00C262D9">
            <w:pPr>
              <w:pStyle w:val="Paragraphedeliste"/>
              <w:numPr>
                <w:ilvl w:val="0"/>
                <w:numId w:val="7"/>
              </w:numPr>
              <w:spacing w:before="120" w:after="120"/>
              <w:jc w:val="both"/>
              <w:rPr>
                <w:rFonts w:ascii="Calibri" w:eastAsia="Calibri" w:hAnsi="Calibri" w:cs="Calibri"/>
                <w:bCs/>
                <w:color w:val="002060"/>
              </w:rPr>
            </w:pPr>
            <w:r w:rsidRPr="6832691E">
              <w:rPr>
                <w:rFonts w:ascii="Verdana" w:eastAsia="Verdana" w:hAnsi="Verdana" w:cs="Verdana"/>
                <w:color w:val="002060"/>
                <w:sz w:val="20"/>
                <w:szCs w:val="20"/>
                <w:lang w:eastAsia="en-US"/>
              </w:rPr>
              <w:t>Les villes de l’agglomération s’impliquent et auront à continuer à s’impliquer pour promouvoir auprès des jeunes l’ouverture culturelle, la citoyenneté, la mobilité, l’égalité fille/ garçon… en lien avec les dynamiques de cohésion</w:t>
            </w:r>
            <w:bookmarkStart w:id="0" w:name="_GoBack"/>
            <w:bookmarkEnd w:id="0"/>
            <w:r w:rsidRPr="6832691E">
              <w:rPr>
                <w:rFonts w:ascii="Verdana" w:eastAsia="Verdana" w:hAnsi="Verdana" w:cs="Verdana"/>
                <w:color w:val="002060"/>
                <w:sz w:val="20"/>
                <w:szCs w:val="20"/>
                <w:lang w:eastAsia="en-US"/>
              </w:rPr>
              <w:t xml:space="preserve"> sociale dans les quartiers. </w:t>
            </w:r>
          </w:p>
        </w:tc>
      </w:tr>
      <w:tr w:rsidR="00611755" w:rsidRPr="00243AF9" w14:paraId="2ADE9E44" w14:textId="77777777" w:rsidTr="3124B52D">
        <w:trPr>
          <w:trHeight w:val="142"/>
        </w:trPr>
        <w:tc>
          <w:tcPr>
            <w:tcW w:w="2385" w:type="dxa"/>
            <w:shd w:val="clear" w:color="auto" w:fill="B8CCE4" w:themeFill="accent1" w:themeFillTint="66"/>
          </w:tcPr>
          <w:p w14:paraId="5EDF0A82"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14:paraId="548BD185" w14:textId="135F1BD4" w:rsidR="005F0153" w:rsidRDefault="005F0153" w:rsidP="005F0153">
            <w:pPr>
              <w:pStyle w:val="TableContents"/>
              <w:autoSpaceDN w:val="0"/>
              <w:spacing w:before="120" w:after="120"/>
              <w:jc w:val="both"/>
              <w:rPr>
                <w:rFonts w:ascii="Verdana" w:hAnsi="Verdana" w:cs="Arial"/>
                <w:i/>
                <w:color w:val="1F497D"/>
                <w:sz w:val="20"/>
                <w:szCs w:val="20"/>
              </w:rPr>
            </w:pPr>
            <w:r>
              <w:rPr>
                <w:rFonts w:ascii="Verdana" w:hAnsi="Verdana" w:cs="Arial"/>
                <w:i/>
                <w:color w:val="1F497D"/>
                <w:sz w:val="20"/>
                <w:szCs w:val="20"/>
              </w:rPr>
              <w:t xml:space="preserve"> </w:t>
            </w:r>
          </w:p>
          <w:p w14:paraId="2F5AAD3D" w14:textId="6CA64AC4" w:rsidR="00611755" w:rsidRPr="008D57C0" w:rsidRDefault="00611755" w:rsidP="008D57C0">
            <w:pPr>
              <w:pStyle w:val="TableContents"/>
              <w:autoSpaceDN w:val="0"/>
              <w:spacing w:before="120" w:after="120"/>
              <w:jc w:val="both"/>
              <w:rPr>
                <w:rFonts w:ascii="Verdana" w:hAnsi="Verdana" w:cs="Arial"/>
                <w:i/>
                <w:color w:val="1F497D"/>
                <w:sz w:val="16"/>
                <w:szCs w:val="20"/>
              </w:rPr>
            </w:pPr>
          </w:p>
        </w:tc>
        <w:tc>
          <w:tcPr>
            <w:tcW w:w="8445" w:type="dxa"/>
            <w:shd w:val="clear" w:color="auto" w:fill="B8CCE4" w:themeFill="accent1" w:themeFillTint="66"/>
          </w:tcPr>
          <w:p w14:paraId="0A7719AB" w14:textId="41F170A8" w:rsidR="001E3AE5" w:rsidRPr="00D21B05" w:rsidRDefault="3124B52D" w:rsidP="6832691E">
            <w:pPr>
              <w:pStyle w:val="Paragraphedeliste"/>
              <w:numPr>
                <w:ilvl w:val="0"/>
                <w:numId w:val="7"/>
              </w:numPr>
              <w:rPr>
                <w:rFonts w:ascii="Calibri" w:eastAsia="Calibri" w:hAnsi="Calibri" w:cs="Calibri"/>
                <w:i/>
                <w:color w:val="002060"/>
                <w:lang w:eastAsia="en-US"/>
              </w:rPr>
            </w:pPr>
            <w:r w:rsidRPr="3124B52D">
              <w:rPr>
                <w:rFonts w:ascii="Calibri" w:eastAsia="Calibri" w:hAnsi="Calibri" w:cs="Calibri"/>
                <w:color w:val="002060"/>
                <w:szCs w:val="24"/>
                <w:lang w:eastAsia="en-US"/>
              </w:rPr>
              <w:t>A partir de constats, d'observations concernant les public</w:t>
            </w:r>
            <w:r w:rsidR="00891C2A">
              <w:rPr>
                <w:rFonts w:ascii="Calibri" w:eastAsia="Calibri" w:hAnsi="Calibri" w:cs="Calibri"/>
                <w:color w:val="002060"/>
                <w:szCs w:val="24"/>
                <w:lang w:eastAsia="en-US"/>
              </w:rPr>
              <w:t>s</w:t>
            </w:r>
            <w:r w:rsidRPr="3124B52D">
              <w:rPr>
                <w:rFonts w:ascii="Calibri" w:eastAsia="Calibri" w:hAnsi="Calibri" w:cs="Calibri"/>
                <w:color w:val="002060"/>
                <w:szCs w:val="24"/>
                <w:lang w:eastAsia="en-US"/>
              </w:rPr>
              <w:t xml:space="preserve">, poser des objectifs éducatifs et développer les actions  culturelles, artistiques, scientifiques et techniques et sportives,  en lien étroit avec les actions développées dans le pilier cohésion sociale. </w:t>
            </w:r>
          </w:p>
          <w:p w14:paraId="1E90B72E" w14:textId="5C2DC095" w:rsidR="004259BC" w:rsidRPr="004259BC" w:rsidRDefault="3124B52D" w:rsidP="6832691E">
            <w:pPr>
              <w:pStyle w:val="Paragraphedeliste"/>
              <w:numPr>
                <w:ilvl w:val="0"/>
                <w:numId w:val="7"/>
              </w:numPr>
              <w:autoSpaceDN w:val="0"/>
              <w:spacing w:before="120" w:after="120"/>
              <w:rPr>
                <w:rFonts w:ascii="Calibri" w:eastAsia="Calibri" w:hAnsi="Calibri" w:cs="Calibri"/>
                <w:color w:val="002060"/>
              </w:rPr>
            </w:pPr>
            <w:r w:rsidRPr="3124B52D">
              <w:rPr>
                <w:rFonts w:ascii="Calibri" w:eastAsia="Calibri" w:hAnsi="Calibri" w:cs="Calibri"/>
                <w:color w:val="002060"/>
                <w:lang w:eastAsia="en-US"/>
              </w:rPr>
              <w:t xml:space="preserve">Soutenir </w:t>
            </w:r>
            <w:r w:rsidRPr="3124B52D">
              <w:rPr>
                <w:rFonts w:ascii="Calibri" w:eastAsia="Calibri" w:hAnsi="Calibri" w:cs="Calibri"/>
                <w:color w:val="002060"/>
                <w:szCs w:val="24"/>
                <w:lang w:eastAsia="en-US"/>
              </w:rPr>
              <w:t>des actions visant la citoyenneté, le vivre ensemble ainsi</w:t>
            </w:r>
            <w:r w:rsidRPr="3124B52D">
              <w:rPr>
                <w:rFonts w:ascii="Calibri" w:eastAsia="Calibri" w:hAnsi="Calibri" w:cs="Calibri"/>
                <w:color w:val="002060"/>
                <w:lang w:eastAsia="en-US"/>
              </w:rPr>
              <w:t xml:space="preserve"> que  les activités organisées hors quartier, pour favoriser l’ouverture.</w:t>
            </w:r>
          </w:p>
          <w:p w14:paraId="664BD8D6" w14:textId="34FFBBD0" w:rsidR="004259BC" w:rsidRPr="004259BC" w:rsidRDefault="004259BC" w:rsidP="6832691E">
            <w:pPr>
              <w:autoSpaceDN w:val="0"/>
              <w:spacing w:before="120" w:after="120"/>
              <w:rPr>
                <w:rFonts w:ascii="Verdana" w:hAnsi="Verdana" w:cs="Arial"/>
                <w:color w:val="FF0000"/>
                <w:sz w:val="20"/>
                <w:szCs w:val="20"/>
              </w:rPr>
            </w:pPr>
          </w:p>
        </w:tc>
      </w:tr>
      <w:tr w:rsidR="00611755" w:rsidRPr="00243AF9" w14:paraId="1C67725D" w14:textId="77777777" w:rsidTr="3124B52D">
        <w:trPr>
          <w:trHeight w:val="170"/>
        </w:trPr>
        <w:tc>
          <w:tcPr>
            <w:tcW w:w="2385" w:type="dxa"/>
            <w:shd w:val="clear" w:color="auto" w:fill="B8CCE4" w:themeFill="accent1" w:themeFillTint="66"/>
          </w:tcPr>
          <w:p w14:paraId="494E33A9"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14:paraId="69A79D4C" w14:textId="667BAFFA"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445" w:type="dxa"/>
            <w:shd w:val="clear" w:color="auto" w:fill="B8CCE4" w:themeFill="accent1" w:themeFillTint="66"/>
          </w:tcPr>
          <w:p w14:paraId="09203CC9" w14:textId="5BE866AE" w:rsidR="004259BC" w:rsidRPr="00891C2A" w:rsidRDefault="3124B52D" w:rsidP="6832691E">
            <w:pPr>
              <w:pStyle w:val="Paragraphedeliste"/>
              <w:numPr>
                <w:ilvl w:val="0"/>
                <w:numId w:val="7"/>
              </w:numPr>
              <w:rPr>
                <w:rFonts w:ascii="Calibri" w:eastAsia="Calibri" w:hAnsi="Calibri" w:cs="Calibri"/>
                <w:color w:val="002060"/>
                <w:szCs w:val="24"/>
                <w:lang w:eastAsia="en-US"/>
              </w:rPr>
            </w:pPr>
            <w:r w:rsidRPr="3124B52D">
              <w:rPr>
                <w:rFonts w:ascii="Calibri" w:eastAsia="Calibri" w:hAnsi="Calibri" w:cs="Calibri"/>
                <w:color w:val="002060"/>
                <w:szCs w:val="24"/>
                <w:lang w:eastAsia="en-US"/>
              </w:rPr>
              <w:t>Prendre en compte les objectifs d</w:t>
            </w:r>
            <w:r w:rsidRPr="00891C2A">
              <w:rPr>
                <w:rFonts w:ascii="Calibri" w:eastAsia="Calibri" w:hAnsi="Calibri" w:cs="Calibri"/>
                <w:color w:val="002060"/>
                <w:szCs w:val="24"/>
                <w:lang w:eastAsia="en-US"/>
              </w:rPr>
              <w:t xml:space="preserve">u dispositif Ville Vie Vacances </w:t>
            </w:r>
          </w:p>
          <w:p w14:paraId="3D5AB2B4" w14:textId="2D2E903E" w:rsidR="004259BC" w:rsidRPr="00891C2A" w:rsidRDefault="2D2E903E" w:rsidP="6832691E">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Identifier les attentes et les besoins des enfants et des adolescents. Repérer les freins à l'accès aux pratiques culturelles, sportives, ...des jeunes des quartiers pour apporter des réponses concrètes</w:t>
            </w:r>
          </w:p>
          <w:p w14:paraId="243A11DF" w14:textId="1EA94A7B" w:rsidR="004259BC" w:rsidRPr="00891C2A" w:rsidRDefault="6832691E" w:rsidP="6832691E">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réalisation un diagnostic de l’accès aux loisirs.</w:t>
            </w:r>
          </w:p>
          <w:p w14:paraId="63CF0843" w14:textId="39DEFE3B" w:rsidR="004259BC" w:rsidRPr="00891C2A" w:rsidRDefault="6832691E" w:rsidP="6832691E">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Diversifier et adapter l’offre d’activités pour répondre aux attentes des jeunes qui ne fréquentent pas les structures d’accueil existantes.</w:t>
            </w:r>
          </w:p>
          <w:p w14:paraId="15451CCE" w14:textId="53A2940C" w:rsidR="004259BC" w:rsidRPr="00891C2A" w:rsidRDefault="3124B52D" w:rsidP="6832691E">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Favoriser les actions de découverte des activités par des propositions adaptées, innovantes.</w:t>
            </w:r>
          </w:p>
          <w:p w14:paraId="4C71AC3D" w14:textId="2E4CCBC1" w:rsidR="004259BC" w:rsidRPr="00891C2A" w:rsidRDefault="3124B52D" w:rsidP="6832691E">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Faciliter l’accès aux loisirs des familles défavorisées par des dispositifs d’aide /accompagner les familles  et les jeunes pour l’accès à l’offre de loisirs</w:t>
            </w:r>
          </w:p>
          <w:p w14:paraId="0548C55D" w14:textId="4D6EA86B" w:rsidR="004259BC" w:rsidRPr="00891C2A" w:rsidRDefault="6832691E" w:rsidP="6832691E">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Créer des outils de communication sur les dispositifs d’aide aux familles</w:t>
            </w:r>
          </w:p>
          <w:p w14:paraId="61E69DCC" w14:textId="77777777" w:rsidR="004259BC" w:rsidRPr="004259BC" w:rsidRDefault="004259BC" w:rsidP="004259BC">
            <w:pPr>
              <w:rPr>
                <w:rFonts w:ascii="Verdana" w:hAnsi="Verdana" w:cs="Arial"/>
                <w:color w:val="365F91" w:themeColor="accent1" w:themeShade="BF"/>
                <w:sz w:val="20"/>
                <w:szCs w:val="20"/>
              </w:rPr>
            </w:pPr>
          </w:p>
        </w:tc>
      </w:tr>
      <w:tr w:rsidR="00611755" w:rsidRPr="00243AF9" w14:paraId="28F06691" w14:textId="77777777" w:rsidTr="3124B52D">
        <w:tc>
          <w:tcPr>
            <w:tcW w:w="2385" w:type="dxa"/>
            <w:shd w:val="clear" w:color="auto" w:fill="B8CCE4" w:themeFill="accent1" w:themeFillTint="66"/>
          </w:tcPr>
          <w:p w14:paraId="1C650DD3"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14:paraId="5BB0AE29" w14:textId="7E01FA22" w:rsidR="00611755" w:rsidRPr="00611755" w:rsidRDefault="00611755" w:rsidP="005F0153">
            <w:pPr>
              <w:pStyle w:val="TableContents"/>
              <w:spacing w:before="120" w:after="120"/>
              <w:ind w:left="71" w:right="-10"/>
              <w:rPr>
                <w:rFonts w:ascii="Verdana" w:hAnsi="Verdana" w:cs="Verdana"/>
                <w:bCs/>
                <w:i/>
                <w:color w:val="1F497D"/>
                <w:sz w:val="20"/>
                <w:szCs w:val="20"/>
              </w:rPr>
            </w:pPr>
          </w:p>
        </w:tc>
        <w:tc>
          <w:tcPr>
            <w:tcW w:w="8445" w:type="dxa"/>
            <w:shd w:val="clear" w:color="auto" w:fill="B8CCE4" w:themeFill="accent1" w:themeFillTint="66"/>
          </w:tcPr>
          <w:p w14:paraId="14C6C0F9" w14:textId="1B8B828A" w:rsidR="00611755" w:rsidRPr="00891C2A" w:rsidRDefault="3124B52D"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lastRenderedPageBreak/>
              <w:t xml:space="preserve">Mobilisation des jeunes autour des activités à caractère sportif, artistique, </w:t>
            </w:r>
            <w:r w:rsidRPr="00891C2A">
              <w:rPr>
                <w:rFonts w:ascii="Calibri" w:eastAsia="Calibri" w:hAnsi="Calibri" w:cs="Calibri"/>
                <w:color w:val="002060"/>
                <w:szCs w:val="24"/>
                <w:lang w:eastAsia="en-US"/>
              </w:rPr>
              <w:lastRenderedPageBreak/>
              <w:t>culturel ou de loisirs.</w:t>
            </w:r>
          </w:p>
          <w:p w14:paraId="4A8AF2E8" w14:textId="4E1399E1" w:rsidR="14B14E3E" w:rsidRPr="00891C2A" w:rsidRDefault="3124B52D"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Permettre à un plus grand nombre de jeunes des quartiers d'accéder à des pratiques de loisirs, tout particulièrement ceux qui n'y ont pas accès, et avec une attention particulière pour le public féminin.</w:t>
            </w:r>
          </w:p>
          <w:p w14:paraId="0ED0BA1E" w14:textId="0ABCED44" w:rsidR="004259BC" w:rsidRDefault="3124B52D" w:rsidP="00891C2A">
            <w:pPr>
              <w:pStyle w:val="Paragraphedeliste"/>
              <w:numPr>
                <w:ilvl w:val="0"/>
                <w:numId w:val="7"/>
              </w:numPr>
            </w:pPr>
            <w:r w:rsidRPr="00891C2A">
              <w:rPr>
                <w:rFonts w:ascii="Calibri" w:eastAsia="Calibri" w:hAnsi="Calibri" w:cs="Calibri"/>
                <w:color w:val="002060"/>
                <w:szCs w:val="24"/>
                <w:lang w:eastAsia="en-US"/>
              </w:rPr>
              <w:t>Limiter les freins aux activités et permettre une plus grande connaissance des dispositifs d’aide par les professionnels de la jeunesse et une plus grande utilisation par les jeunes et les familles</w:t>
            </w:r>
          </w:p>
        </w:tc>
      </w:tr>
      <w:tr w:rsidR="00611755" w:rsidRPr="00243AF9" w14:paraId="335E1A1B" w14:textId="77777777" w:rsidTr="3124B52D">
        <w:tc>
          <w:tcPr>
            <w:tcW w:w="2385" w:type="dxa"/>
            <w:shd w:val="clear" w:color="auto" w:fill="B8CCE4" w:themeFill="accent1" w:themeFillTint="66"/>
          </w:tcPr>
          <w:p w14:paraId="6D417AF6"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lastRenderedPageBreak/>
              <w:t>Echelle </w:t>
            </w:r>
            <w:r>
              <w:rPr>
                <w:rFonts w:ascii="Verdana" w:hAnsi="Verdana" w:cs="Verdana"/>
                <w:b/>
                <w:bCs/>
                <w:color w:val="1F497D"/>
                <w:sz w:val="20"/>
                <w:szCs w:val="20"/>
              </w:rPr>
              <w:t>Territoriale</w:t>
            </w:r>
          </w:p>
          <w:p w14:paraId="4075CCD4" w14:textId="2CE5E5AF" w:rsidR="00611755" w:rsidRPr="00611755" w:rsidRDefault="00611755" w:rsidP="00891C2A">
            <w:pPr>
              <w:pStyle w:val="TableContents"/>
              <w:spacing w:before="120" w:after="120"/>
              <w:ind w:right="-10"/>
              <w:rPr>
                <w:rFonts w:ascii="Verdana" w:hAnsi="Verdana" w:cs="Verdana"/>
                <w:bCs/>
                <w:i/>
                <w:color w:val="1F497D"/>
                <w:sz w:val="20"/>
                <w:szCs w:val="20"/>
              </w:rPr>
            </w:pPr>
          </w:p>
        </w:tc>
        <w:tc>
          <w:tcPr>
            <w:tcW w:w="8445" w:type="dxa"/>
            <w:shd w:val="clear" w:color="auto" w:fill="B8CCE4" w:themeFill="accent1" w:themeFillTint="66"/>
          </w:tcPr>
          <w:p w14:paraId="29A12410" w14:textId="7A563D98" w:rsidR="00611755" w:rsidRPr="00243AF9" w:rsidRDefault="6832691E" w:rsidP="00891C2A">
            <w:pPr>
              <w:pStyle w:val="Paragraphedeliste"/>
              <w:numPr>
                <w:ilvl w:val="0"/>
                <w:numId w:val="7"/>
              </w:numPr>
              <w:rPr>
                <w:rFonts w:ascii="Verdana" w:hAnsi="Verdana" w:cs="Arial"/>
                <w:color w:val="1F497D"/>
                <w:sz w:val="20"/>
                <w:szCs w:val="20"/>
              </w:rPr>
            </w:pPr>
            <w:r w:rsidRPr="00891C2A">
              <w:rPr>
                <w:rFonts w:ascii="Calibri" w:eastAsia="Calibri" w:hAnsi="Calibri" w:cs="Calibri"/>
                <w:color w:val="002060"/>
                <w:szCs w:val="24"/>
                <w:lang w:eastAsia="en-US"/>
              </w:rPr>
              <w:t>Tous quartiers</w:t>
            </w:r>
          </w:p>
        </w:tc>
      </w:tr>
      <w:tr w:rsidR="00611755" w:rsidRPr="00243AF9" w14:paraId="1D46532D" w14:textId="77777777" w:rsidTr="3124B52D">
        <w:tc>
          <w:tcPr>
            <w:tcW w:w="2385" w:type="dxa"/>
            <w:shd w:val="clear" w:color="auto" w:fill="B8CCE4" w:themeFill="accent1" w:themeFillTint="66"/>
          </w:tcPr>
          <w:p w14:paraId="7879A364" w14:textId="77777777" w:rsidR="00611755" w:rsidRDefault="00D87FB9"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p w14:paraId="411EA414" w14:textId="6C451448"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445" w:type="dxa"/>
            <w:shd w:val="clear" w:color="auto" w:fill="B8CCE4" w:themeFill="accent1" w:themeFillTint="66"/>
          </w:tcPr>
          <w:p w14:paraId="74FEF596" w14:textId="7C72E294" w:rsidR="00611755" w:rsidRPr="00243AF9" w:rsidRDefault="6832691E" w:rsidP="00891C2A">
            <w:pPr>
              <w:pStyle w:val="Paragraphedeliste"/>
              <w:numPr>
                <w:ilvl w:val="0"/>
                <w:numId w:val="7"/>
              </w:numPr>
              <w:rPr>
                <w:rFonts w:ascii="Verdana" w:hAnsi="Verdana" w:cs="Arial"/>
                <w:color w:val="1F497D"/>
                <w:sz w:val="20"/>
                <w:szCs w:val="20"/>
              </w:rPr>
            </w:pPr>
            <w:r w:rsidRPr="00891C2A">
              <w:rPr>
                <w:rFonts w:ascii="Calibri" w:eastAsia="Calibri" w:hAnsi="Calibri" w:cs="Calibri"/>
                <w:color w:val="002060"/>
                <w:szCs w:val="24"/>
                <w:lang w:eastAsia="en-US"/>
              </w:rPr>
              <w:t>Villes</w:t>
            </w:r>
          </w:p>
        </w:tc>
      </w:tr>
      <w:tr w:rsidR="00611755" w:rsidRPr="00243AF9" w14:paraId="61360EE3" w14:textId="77777777" w:rsidTr="3124B52D">
        <w:trPr>
          <w:trHeight w:val="95"/>
        </w:trPr>
        <w:tc>
          <w:tcPr>
            <w:tcW w:w="2385" w:type="dxa"/>
            <w:shd w:val="clear" w:color="auto" w:fill="B8CCE4" w:themeFill="accent1" w:themeFillTint="66"/>
          </w:tcPr>
          <w:p w14:paraId="21D6E66F" w14:textId="77777777" w:rsidR="00611755" w:rsidRPr="00891C2A" w:rsidRDefault="00611755" w:rsidP="00891C2A">
            <w:pPr>
              <w:pStyle w:val="TableContents"/>
              <w:spacing w:before="120" w:after="120"/>
              <w:ind w:left="71" w:right="-10"/>
              <w:rPr>
                <w:rFonts w:ascii="Verdana" w:hAnsi="Verdana" w:cs="Verdana"/>
                <w:b/>
                <w:bCs/>
                <w:color w:val="1F497D"/>
                <w:sz w:val="20"/>
                <w:szCs w:val="20"/>
              </w:rPr>
            </w:pPr>
            <w:r w:rsidRPr="00891C2A">
              <w:rPr>
                <w:rFonts w:ascii="Verdana" w:hAnsi="Verdana" w:cs="Verdana"/>
                <w:b/>
                <w:bCs/>
                <w:color w:val="1F497D"/>
                <w:sz w:val="20"/>
                <w:szCs w:val="20"/>
              </w:rPr>
              <w:t>Partenaires mobilisables (dont habitants)</w:t>
            </w:r>
          </w:p>
          <w:p w14:paraId="721ABDED" w14:textId="77777777" w:rsidR="00611755" w:rsidRPr="00891C2A" w:rsidRDefault="00611755" w:rsidP="00891C2A">
            <w:pPr>
              <w:pStyle w:val="TableContents"/>
              <w:spacing w:before="120" w:after="120"/>
              <w:ind w:left="71" w:right="-10"/>
              <w:rPr>
                <w:rFonts w:ascii="Verdana" w:hAnsi="Verdana" w:cs="Verdana"/>
                <w:b/>
                <w:bCs/>
                <w:color w:val="1F497D"/>
                <w:sz w:val="20"/>
                <w:szCs w:val="20"/>
              </w:rPr>
            </w:pPr>
            <w:r w:rsidRPr="00891C2A">
              <w:rPr>
                <w:rFonts w:ascii="Verdana" w:hAnsi="Verdana" w:cs="Verdana"/>
                <w:b/>
                <w:bCs/>
                <w:color w:val="1F497D"/>
                <w:sz w:val="20"/>
                <w:szCs w:val="20"/>
              </w:rPr>
              <w:t>Dispositifs mobilisables</w:t>
            </w:r>
          </w:p>
          <w:p w14:paraId="4F666729" w14:textId="2A706110" w:rsidR="00611755" w:rsidRPr="00891C2A" w:rsidRDefault="00611755" w:rsidP="00891C2A">
            <w:pPr>
              <w:pStyle w:val="TableContents"/>
              <w:spacing w:before="120" w:after="120"/>
              <w:ind w:left="71" w:right="-10"/>
              <w:rPr>
                <w:rFonts w:ascii="Calibri" w:eastAsia="Calibri" w:hAnsi="Calibri" w:cs="Calibri"/>
                <w:color w:val="002060"/>
                <w:lang w:eastAsia="en-US"/>
              </w:rPr>
            </w:pPr>
          </w:p>
        </w:tc>
        <w:tc>
          <w:tcPr>
            <w:tcW w:w="8445" w:type="dxa"/>
            <w:shd w:val="clear" w:color="auto" w:fill="B8CCE4" w:themeFill="accent1" w:themeFillTint="66"/>
          </w:tcPr>
          <w:p w14:paraId="2E620CB1" w14:textId="5BBC4253" w:rsidR="00611755" w:rsidRPr="00891C2A" w:rsidRDefault="3124B52D"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Partenaires</w:t>
            </w:r>
          </w:p>
          <w:p w14:paraId="34319519" w14:textId="5B433D89" w:rsidR="00611755" w:rsidRPr="00891C2A" w:rsidRDefault="3124B52D"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DRAC</w:t>
            </w:r>
          </w:p>
          <w:p w14:paraId="1F925C53" w14:textId="19902260" w:rsidR="004259BC"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Education Nationale</w:t>
            </w:r>
          </w:p>
          <w:p w14:paraId="164DE728" w14:textId="0898EA16" w:rsidR="004259BC"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DDCS : jeunesse/sport</w:t>
            </w:r>
          </w:p>
          <w:p w14:paraId="1B20B8C5" w14:textId="52C35A7A" w:rsidR="004259BC"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CAF : action sociale</w:t>
            </w:r>
          </w:p>
          <w:p w14:paraId="39115259" w14:textId="5006F5AD" w:rsidR="004259BC"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CD37 : Maison des solidarités, prévention spécialisée</w:t>
            </w:r>
          </w:p>
          <w:p w14:paraId="2AB701D2" w14:textId="1DA25A78" w:rsidR="004259BC"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Villes : services municipaux, associations sportives, culturelles, artistiques et de loisirs</w:t>
            </w:r>
          </w:p>
          <w:p w14:paraId="61041722" w14:textId="4D85F971" w:rsidR="004259BC" w:rsidRPr="00891C2A" w:rsidRDefault="004259BC" w:rsidP="00891C2A">
            <w:pPr>
              <w:ind w:left="360"/>
              <w:rPr>
                <w:rFonts w:ascii="Calibri" w:eastAsia="Calibri" w:hAnsi="Calibri" w:cs="Calibri"/>
                <w:color w:val="002060"/>
                <w:lang w:eastAsia="en-US"/>
              </w:rPr>
            </w:pPr>
          </w:p>
          <w:p w14:paraId="718E2A46" w14:textId="7DCCDAB5" w:rsidR="004259BC" w:rsidRPr="00891C2A" w:rsidRDefault="3124B52D" w:rsidP="00891C2A">
            <w:pPr>
              <w:rPr>
                <w:rFonts w:ascii="Calibri" w:eastAsia="Calibri" w:hAnsi="Calibri" w:cs="Calibri"/>
                <w:color w:val="002060"/>
                <w:lang w:eastAsia="en-US"/>
              </w:rPr>
            </w:pPr>
            <w:r w:rsidRPr="00891C2A">
              <w:rPr>
                <w:rFonts w:ascii="Calibri" w:eastAsia="Calibri" w:hAnsi="Calibri" w:cs="Calibri"/>
                <w:color w:val="002060"/>
                <w:lang w:eastAsia="en-US"/>
              </w:rPr>
              <w:t>Dispositifs</w:t>
            </w:r>
          </w:p>
          <w:p w14:paraId="5C96A88E" w14:textId="43C07C5A" w:rsidR="004259BC" w:rsidRPr="00891C2A" w:rsidRDefault="3124B52D"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FONJEP</w:t>
            </w:r>
          </w:p>
          <w:p w14:paraId="3F210F50" w14:textId="3BCBA6B0" w:rsidR="004259BC" w:rsidRPr="00891C2A" w:rsidRDefault="3124B52D"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CAF  Politique jeunesse</w:t>
            </w:r>
          </w:p>
        </w:tc>
      </w:tr>
      <w:tr w:rsidR="00611755" w:rsidRPr="00243AF9" w14:paraId="3E9334F6" w14:textId="77777777" w:rsidTr="3124B52D">
        <w:tc>
          <w:tcPr>
            <w:tcW w:w="2385" w:type="dxa"/>
            <w:shd w:val="clear" w:color="auto" w:fill="B8CCE4" w:themeFill="accent1" w:themeFillTint="66"/>
          </w:tcPr>
          <w:p w14:paraId="07C6B544"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p w14:paraId="322905EC" w14:textId="4AF7AE21" w:rsidR="00611755" w:rsidRPr="00243AF9" w:rsidRDefault="00611755" w:rsidP="00611755">
            <w:pPr>
              <w:pStyle w:val="TableContents"/>
              <w:spacing w:before="120" w:after="120"/>
              <w:ind w:left="71" w:right="-10"/>
              <w:rPr>
                <w:rFonts w:ascii="Verdana" w:hAnsi="Verdana" w:cs="Verdana"/>
                <w:b/>
                <w:bCs/>
                <w:color w:val="1F497D"/>
                <w:sz w:val="20"/>
                <w:szCs w:val="20"/>
              </w:rPr>
            </w:pPr>
          </w:p>
        </w:tc>
        <w:tc>
          <w:tcPr>
            <w:tcW w:w="8445" w:type="dxa"/>
            <w:shd w:val="clear" w:color="auto" w:fill="B8CCE4" w:themeFill="accent1" w:themeFillTint="66"/>
          </w:tcPr>
          <w:p w14:paraId="41D54C2A" w14:textId="31F101CE" w:rsidR="00A8588E"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VVV</w:t>
            </w:r>
          </w:p>
          <w:p w14:paraId="1264A8F4" w14:textId="1731F5AC" w:rsidR="00611755"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CNDS</w:t>
            </w:r>
          </w:p>
          <w:p w14:paraId="0232E238" w14:textId="571F68A2" w:rsidR="00A8588E"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DRAC</w:t>
            </w:r>
          </w:p>
          <w:p w14:paraId="4203C933" w14:textId="5DB89ACF" w:rsidR="00A8588E"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CAF</w:t>
            </w:r>
          </w:p>
          <w:p w14:paraId="62ECD220" w14:textId="3583A581" w:rsidR="00A8588E"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Appel à projets Contrat de ville</w:t>
            </w:r>
          </w:p>
          <w:p w14:paraId="2CB9B522" w14:textId="2D61D76F" w:rsidR="00A8588E" w:rsidRPr="00243AF9" w:rsidRDefault="6832691E" w:rsidP="00891C2A">
            <w:pPr>
              <w:pStyle w:val="Paragraphedeliste"/>
              <w:numPr>
                <w:ilvl w:val="0"/>
                <w:numId w:val="7"/>
              </w:numPr>
              <w:rPr>
                <w:rFonts w:ascii="Verdana" w:hAnsi="Verdana" w:cs="Arial"/>
                <w:color w:val="1F497D"/>
                <w:sz w:val="20"/>
                <w:szCs w:val="20"/>
              </w:rPr>
            </w:pPr>
            <w:r w:rsidRPr="00891C2A">
              <w:rPr>
                <w:rFonts w:ascii="Calibri" w:eastAsia="Calibri" w:hAnsi="Calibri" w:cs="Calibri"/>
                <w:color w:val="002060"/>
                <w:szCs w:val="24"/>
                <w:lang w:eastAsia="en-US"/>
              </w:rPr>
              <w:t>Fondation de France</w:t>
            </w:r>
          </w:p>
        </w:tc>
      </w:tr>
      <w:tr w:rsidR="00611755" w:rsidRPr="00243AF9" w14:paraId="3FFB6289" w14:textId="77777777" w:rsidTr="3124B52D">
        <w:trPr>
          <w:trHeight w:val="272"/>
        </w:trPr>
        <w:tc>
          <w:tcPr>
            <w:tcW w:w="2385" w:type="dxa"/>
            <w:shd w:val="clear" w:color="auto" w:fill="B8CCE4" w:themeFill="accent1" w:themeFillTint="66"/>
          </w:tcPr>
          <w:p w14:paraId="45A3F961"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p w14:paraId="68BFAD57" w14:textId="1AE0117D"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445" w:type="dxa"/>
            <w:shd w:val="clear" w:color="auto" w:fill="B8CCE4" w:themeFill="accent1" w:themeFillTint="66"/>
          </w:tcPr>
          <w:p w14:paraId="495ED522" w14:textId="4F9BE303" w:rsidR="00611755" w:rsidRPr="00243AF9" w:rsidRDefault="6832691E" w:rsidP="00891C2A">
            <w:pPr>
              <w:pStyle w:val="Paragraphedeliste"/>
              <w:numPr>
                <w:ilvl w:val="0"/>
                <w:numId w:val="7"/>
              </w:numPr>
              <w:rPr>
                <w:rFonts w:ascii="Verdana" w:hAnsi="Verdana" w:cs="Arial"/>
                <w:color w:val="1F497D"/>
                <w:sz w:val="20"/>
                <w:szCs w:val="20"/>
              </w:rPr>
            </w:pPr>
            <w:r w:rsidRPr="00891C2A">
              <w:rPr>
                <w:rFonts w:ascii="Calibri" w:eastAsia="Calibri" w:hAnsi="Calibri" w:cs="Calibri"/>
                <w:color w:val="002060"/>
                <w:szCs w:val="24"/>
                <w:lang w:eastAsia="en-US"/>
              </w:rPr>
              <w:t>En continu</w:t>
            </w:r>
          </w:p>
        </w:tc>
      </w:tr>
      <w:tr w:rsidR="005F0153" w:rsidRPr="00243AF9" w14:paraId="1617DD4B" w14:textId="77777777" w:rsidTr="3124B52D">
        <w:tc>
          <w:tcPr>
            <w:tcW w:w="2385" w:type="dxa"/>
            <w:shd w:val="clear" w:color="auto" w:fill="B8CCE4" w:themeFill="accent1" w:themeFillTint="66"/>
          </w:tcPr>
          <w:p w14:paraId="500E5064" w14:textId="77777777"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14:paraId="212DB76A" w14:textId="741B2052" w:rsidR="005F0153" w:rsidRDefault="005F0153" w:rsidP="00D87FB9">
            <w:pPr>
              <w:pStyle w:val="TableContents"/>
              <w:spacing w:before="120" w:after="120"/>
              <w:ind w:left="71" w:right="-10"/>
              <w:rPr>
                <w:rFonts w:ascii="Verdana" w:hAnsi="Verdana" w:cs="Verdana"/>
                <w:b/>
                <w:bCs/>
                <w:color w:val="1F497D"/>
                <w:sz w:val="20"/>
                <w:szCs w:val="20"/>
              </w:rPr>
            </w:pPr>
          </w:p>
        </w:tc>
        <w:tc>
          <w:tcPr>
            <w:tcW w:w="8445" w:type="dxa"/>
            <w:shd w:val="clear" w:color="auto" w:fill="B8CCE4" w:themeFill="accent1" w:themeFillTint="66"/>
          </w:tcPr>
          <w:p w14:paraId="42193246" w14:textId="43A33AA5" w:rsidR="005F0153"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Nombre d’actions mises en œuvre</w:t>
            </w:r>
          </w:p>
          <w:p w14:paraId="4A014CD6" w14:textId="2DEBB2F1" w:rsidR="00A8588E"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Nombre de jeunes inscrits</w:t>
            </w:r>
          </w:p>
          <w:p w14:paraId="16C0E02F" w14:textId="767CA80C" w:rsidR="00A8588E"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Nombres de familles bénéficiant d’une aide pour l’accès aux loisirs</w:t>
            </w:r>
          </w:p>
          <w:p w14:paraId="0FCFD493" w14:textId="6FFEBC40" w:rsidR="00A8588E" w:rsidRDefault="6832691E" w:rsidP="00891C2A">
            <w:pPr>
              <w:pStyle w:val="Paragraphedeliste"/>
              <w:numPr>
                <w:ilvl w:val="0"/>
                <w:numId w:val="7"/>
              </w:numPr>
              <w:rPr>
                <w:rFonts w:ascii="Verdana" w:hAnsi="Verdana" w:cs="Arial"/>
                <w:color w:val="1F497D"/>
                <w:sz w:val="20"/>
                <w:szCs w:val="20"/>
              </w:rPr>
            </w:pPr>
            <w:r w:rsidRPr="00891C2A">
              <w:rPr>
                <w:rFonts w:ascii="Calibri" w:eastAsia="Calibri" w:hAnsi="Calibri" w:cs="Calibri"/>
                <w:color w:val="002060"/>
                <w:szCs w:val="24"/>
                <w:lang w:eastAsia="en-US"/>
              </w:rPr>
              <w:t>Nombre, nature et qualité des outils de communication</w:t>
            </w:r>
          </w:p>
        </w:tc>
      </w:tr>
      <w:tr w:rsidR="00D87FB9" w:rsidRPr="00243AF9" w14:paraId="3E60B0B3" w14:textId="77777777" w:rsidTr="3124B52D">
        <w:tc>
          <w:tcPr>
            <w:tcW w:w="2385" w:type="dxa"/>
            <w:shd w:val="clear" w:color="auto" w:fill="B8CCE4" w:themeFill="accent1" w:themeFillTint="66"/>
          </w:tcPr>
          <w:p w14:paraId="714CE33F" w14:textId="4FB3E81E" w:rsidR="00D87FB9" w:rsidRDefault="00D87FB9" w:rsidP="00891C2A">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tc>
        <w:tc>
          <w:tcPr>
            <w:tcW w:w="8445" w:type="dxa"/>
            <w:shd w:val="clear" w:color="auto" w:fill="B8CCE4" w:themeFill="accent1" w:themeFillTint="66"/>
          </w:tcPr>
          <w:p w14:paraId="3B316379" w14:textId="01A148D8" w:rsidR="00D87FB9" w:rsidRDefault="6832691E" w:rsidP="00891C2A">
            <w:pPr>
              <w:pStyle w:val="Paragraphedeliste"/>
              <w:numPr>
                <w:ilvl w:val="0"/>
                <w:numId w:val="7"/>
              </w:numPr>
              <w:rPr>
                <w:rFonts w:ascii="Verdana" w:hAnsi="Verdana" w:cs="Arial"/>
                <w:color w:val="1F497D"/>
                <w:sz w:val="20"/>
                <w:szCs w:val="20"/>
              </w:rPr>
            </w:pPr>
            <w:r w:rsidRPr="00891C2A">
              <w:rPr>
                <w:rFonts w:ascii="Calibri" w:eastAsia="Calibri" w:hAnsi="Calibri" w:cs="Calibri"/>
                <w:color w:val="002060"/>
                <w:szCs w:val="24"/>
                <w:lang w:eastAsia="en-US"/>
              </w:rPr>
              <w:t>Enquête sur les pratiques sportives, culturelles, artistiques et de loisirs.</w:t>
            </w:r>
          </w:p>
        </w:tc>
      </w:tr>
      <w:tr w:rsidR="00611755" w:rsidRPr="00243AF9" w14:paraId="27774D3A" w14:textId="77777777" w:rsidTr="3124B52D">
        <w:tc>
          <w:tcPr>
            <w:tcW w:w="2385" w:type="dxa"/>
            <w:shd w:val="clear" w:color="auto" w:fill="B8CCE4" w:themeFill="accent1" w:themeFillTint="66"/>
          </w:tcPr>
          <w:p w14:paraId="778CDF5E" w14:textId="77777777"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445" w:type="dxa"/>
            <w:shd w:val="clear" w:color="auto" w:fill="B8CCE4" w:themeFill="accent1" w:themeFillTint="66"/>
          </w:tcPr>
          <w:p w14:paraId="688DB928" w14:textId="3AE048F9" w:rsidR="00611755" w:rsidRPr="00891C2A" w:rsidRDefault="6832691E" w:rsidP="00891C2A">
            <w:pPr>
              <w:rPr>
                <w:rFonts w:ascii="Calibri" w:eastAsia="Calibri" w:hAnsi="Calibri" w:cs="Calibri"/>
                <w:color w:val="002060"/>
                <w:lang w:eastAsia="en-US"/>
              </w:rPr>
            </w:pPr>
            <w:r w:rsidRPr="00891C2A">
              <w:rPr>
                <w:rFonts w:ascii="Calibri" w:eastAsia="Calibri" w:hAnsi="Calibri" w:cs="Calibri"/>
                <w:color w:val="002060"/>
                <w:lang w:eastAsia="en-US"/>
              </w:rPr>
              <w:t>1.2.4 : développer l’accès et adapter l’offre éducative (qualité/volume) en continu pour les enfants et les adolescents.</w:t>
            </w:r>
          </w:p>
          <w:p w14:paraId="55D9A9EC" w14:textId="3FF64AF2" w:rsidR="00A8588E" w:rsidRPr="00891C2A" w:rsidRDefault="6832691E" w:rsidP="00891C2A">
            <w:pPr>
              <w:rPr>
                <w:rFonts w:ascii="Calibri" w:eastAsia="Calibri" w:hAnsi="Calibri" w:cs="Calibri"/>
                <w:color w:val="002060"/>
                <w:lang w:eastAsia="en-US"/>
              </w:rPr>
            </w:pPr>
            <w:r w:rsidRPr="00891C2A">
              <w:rPr>
                <w:rFonts w:ascii="Calibri" w:eastAsia="Calibri" w:hAnsi="Calibri" w:cs="Calibri"/>
                <w:color w:val="002060"/>
                <w:lang w:eastAsia="en-US"/>
              </w:rPr>
              <w:t>AT jeunesse :</w:t>
            </w:r>
          </w:p>
          <w:p w14:paraId="2331EB8A" w14:textId="05317BED" w:rsidR="00A8588E" w:rsidRPr="00891C2A" w:rsidRDefault="6832691E" w:rsidP="00891C2A">
            <w:pPr>
              <w:pStyle w:val="Paragraphedeliste"/>
              <w:numPr>
                <w:ilvl w:val="0"/>
                <w:numId w:val="7"/>
              </w:numPr>
              <w:rPr>
                <w:rFonts w:ascii="Calibri" w:eastAsia="Calibri" w:hAnsi="Calibri" w:cs="Calibri"/>
                <w:color w:val="002060"/>
                <w:szCs w:val="24"/>
                <w:lang w:eastAsia="en-US"/>
              </w:rPr>
            </w:pPr>
            <w:r w:rsidRPr="00891C2A">
              <w:rPr>
                <w:rFonts w:ascii="Calibri" w:eastAsia="Calibri" w:hAnsi="Calibri" w:cs="Calibri"/>
                <w:color w:val="002060"/>
                <w:szCs w:val="24"/>
                <w:lang w:eastAsia="en-US"/>
              </w:rPr>
              <w:t>Renforcer l’accès à l’information.</w:t>
            </w:r>
          </w:p>
          <w:p w14:paraId="6EFADE34" w14:textId="0635A17B" w:rsidR="00A8588E" w:rsidRPr="00A8588E" w:rsidRDefault="6832691E" w:rsidP="00891C2A">
            <w:pPr>
              <w:pStyle w:val="Paragraphedeliste"/>
              <w:numPr>
                <w:ilvl w:val="0"/>
                <w:numId w:val="7"/>
              </w:numPr>
              <w:rPr>
                <w:rFonts w:ascii="Verdana,Arial" w:eastAsia="Verdana,Arial" w:hAnsi="Verdana,Arial" w:cs="Verdana,Arial"/>
                <w:color w:val="002060"/>
                <w:sz w:val="20"/>
                <w:szCs w:val="20"/>
              </w:rPr>
            </w:pPr>
            <w:r w:rsidRPr="00891C2A">
              <w:rPr>
                <w:rFonts w:ascii="Calibri" w:eastAsia="Calibri" w:hAnsi="Calibri" w:cs="Calibri"/>
                <w:color w:val="002060"/>
                <w:szCs w:val="24"/>
                <w:lang w:eastAsia="en-US"/>
              </w:rPr>
              <w:t>Accroitre les mobilités sociales, géographique, européenne.</w:t>
            </w:r>
          </w:p>
        </w:tc>
      </w:tr>
    </w:tbl>
    <w:p w14:paraId="46C5E507" w14:textId="77777777" w:rsidR="00611755" w:rsidRDefault="00611755" w:rsidP="008D57C0">
      <w:pPr>
        <w:pStyle w:val="WW-Standard"/>
        <w:tabs>
          <w:tab w:val="left" w:pos="5920"/>
        </w:tabs>
        <w:spacing w:after="57"/>
        <w:rPr>
          <w:rFonts w:ascii="Verdana" w:hAnsi="Verdana" w:cs="Verdana"/>
          <w:b/>
          <w:bCs/>
          <w:sz w:val="28"/>
          <w:szCs w:val="28"/>
        </w:rPr>
      </w:pPr>
    </w:p>
    <w:p w14:paraId="6FDF1437" w14:textId="77777777"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1"/>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1" w15:paraId="76D42B79"/>
  <w15:commentEx w15:done="0" w15:paraId="3E9C5850"/>
  <w15:commentEx w15:done="0" w15:paraId="76D3DDA8"/>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38C02" w14:textId="77777777" w:rsidR="0082148C" w:rsidRDefault="0082148C" w:rsidP="00A03715">
      <w:pPr>
        <w:pStyle w:val="TableContents"/>
      </w:pPr>
      <w:r>
        <w:separator/>
      </w:r>
    </w:p>
  </w:endnote>
  <w:endnote w:type="continuationSeparator" w:id="0">
    <w:p w14:paraId="070A04DA"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E0C00"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1C8F9ED9"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5142F" w14:textId="77777777" w:rsidR="0082148C" w:rsidRDefault="0082148C" w:rsidP="00A03715">
      <w:pPr>
        <w:pStyle w:val="TableContents"/>
      </w:pPr>
      <w:r>
        <w:separator/>
      </w:r>
    </w:p>
  </w:footnote>
  <w:footnote w:type="continuationSeparator" w:id="0">
    <w:p w14:paraId="2B6C2ECC"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1A696151"/>
    <w:multiLevelType w:val="hybridMultilevel"/>
    <w:tmpl w:val="569AA238"/>
    <w:lvl w:ilvl="0" w:tplc="6EF2CEBA">
      <w:start w:val="1"/>
      <w:numFmt w:val="bullet"/>
      <w:lvlText w:val="-"/>
      <w:lvlJc w:val="left"/>
      <w:pPr>
        <w:ind w:left="720" w:hanging="360"/>
      </w:pPr>
      <w:rPr>
        <w:rFonts w:ascii="Verdana" w:eastAsia="SimSu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8E0183"/>
    <w:multiLevelType w:val="hybridMultilevel"/>
    <w:tmpl w:val="43B60D72"/>
    <w:lvl w:ilvl="0" w:tplc="4A504E48">
      <w:start w:val="1"/>
      <w:numFmt w:val="bullet"/>
      <w:lvlText w:val=""/>
      <w:lvlJc w:val="left"/>
      <w:pPr>
        <w:ind w:left="720" w:hanging="360"/>
      </w:pPr>
      <w:rPr>
        <w:rFonts w:ascii="Symbol" w:hAnsi="Symbol" w:hint="default"/>
      </w:rPr>
    </w:lvl>
    <w:lvl w:ilvl="1" w:tplc="8DBE2F1E">
      <w:start w:val="1"/>
      <w:numFmt w:val="bullet"/>
      <w:lvlText w:val="o"/>
      <w:lvlJc w:val="left"/>
      <w:pPr>
        <w:ind w:left="1440" w:hanging="360"/>
      </w:pPr>
      <w:rPr>
        <w:rFonts w:ascii="Courier New" w:hAnsi="Courier New" w:hint="default"/>
      </w:rPr>
    </w:lvl>
    <w:lvl w:ilvl="2" w:tplc="FC82CD26">
      <w:start w:val="1"/>
      <w:numFmt w:val="bullet"/>
      <w:lvlText w:val=""/>
      <w:lvlJc w:val="left"/>
      <w:pPr>
        <w:ind w:left="2160" w:hanging="360"/>
      </w:pPr>
      <w:rPr>
        <w:rFonts w:ascii="Wingdings" w:hAnsi="Wingdings" w:hint="default"/>
      </w:rPr>
    </w:lvl>
    <w:lvl w:ilvl="3" w:tplc="C78CC554">
      <w:start w:val="1"/>
      <w:numFmt w:val="bullet"/>
      <w:lvlText w:val=""/>
      <w:lvlJc w:val="left"/>
      <w:pPr>
        <w:ind w:left="2880" w:hanging="360"/>
      </w:pPr>
      <w:rPr>
        <w:rFonts w:ascii="Symbol" w:hAnsi="Symbol" w:hint="default"/>
      </w:rPr>
    </w:lvl>
    <w:lvl w:ilvl="4" w:tplc="9DBE02CA">
      <w:start w:val="1"/>
      <w:numFmt w:val="bullet"/>
      <w:lvlText w:val="o"/>
      <w:lvlJc w:val="left"/>
      <w:pPr>
        <w:ind w:left="3600" w:hanging="360"/>
      </w:pPr>
      <w:rPr>
        <w:rFonts w:ascii="Courier New" w:hAnsi="Courier New" w:hint="default"/>
      </w:rPr>
    </w:lvl>
    <w:lvl w:ilvl="5" w:tplc="6C3A900A">
      <w:start w:val="1"/>
      <w:numFmt w:val="bullet"/>
      <w:lvlText w:val=""/>
      <w:lvlJc w:val="left"/>
      <w:pPr>
        <w:ind w:left="4320" w:hanging="360"/>
      </w:pPr>
      <w:rPr>
        <w:rFonts w:ascii="Wingdings" w:hAnsi="Wingdings" w:hint="default"/>
      </w:rPr>
    </w:lvl>
    <w:lvl w:ilvl="6" w:tplc="34E2432C">
      <w:start w:val="1"/>
      <w:numFmt w:val="bullet"/>
      <w:lvlText w:val=""/>
      <w:lvlJc w:val="left"/>
      <w:pPr>
        <w:ind w:left="5040" w:hanging="360"/>
      </w:pPr>
      <w:rPr>
        <w:rFonts w:ascii="Symbol" w:hAnsi="Symbol" w:hint="default"/>
      </w:rPr>
    </w:lvl>
    <w:lvl w:ilvl="7" w:tplc="5874E144">
      <w:start w:val="1"/>
      <w:numFmt w:val="bullet"/>
      <w:lvlText w:val="o"/>
      <w:lvlJc w:val="left"/>
      <w:pPr>
        <w:ind w:left="5760" w:hanging="360"/>
      </w:pPr>
      <w:rPr>
        <w:rFonts w:ascii="Courier New" w:hAnsi="Courier New" w:hint="default"/>
      </w:rPr>
    </w:lvl>
    <w:lvl w:ilvl="8" w:tplc="8362D618">
      <w:start w:val="1"/>
      <w:numFmt w:val="bullet"/>
      <w:lvlText w:val=""/>
      <w:lvlJc w:val="left"/>
      <w:pPr>
        <w:ind w:left="6480" w:hanging="360"/>
      </w:pPr>
      <w:rPr>
        <w:rFonts w:ascii="Wingdings" w:hAnsi="Wingdings" w:hint="default"/>
      </w:rPr>
    </w:lvl>
  </w:abstractNum>
  <w:abstractNum w:abstractNumId="6">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F644C2E"/>
    <w:multiLevelType w:val="hybridMultilevel"/>
    <w:tmpl w:val="017AF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6"/>
  </w:num>
  <w:num w:numId="6">
    <w:abstractNumId w:val="0"/>
  </w:num>
  <w:num w:numId="7">
    <w:abstractNumId w:val="7"/>
  </w:num>
  <w:num w:numId="8">
    <w:abstractNumId w:val="4"/>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rson w15:author="Marie-Lise AUBRY">
    <w15:presenceInfo w15:providerId="AD" w15:userId="10033FFF90E1CB29@LIVE.COM"/>
  </w15:person>
  <w15:person w15:author="Katia BLONDEAU">
    <w15:presenceInfo w15:providerId="AD" w15:userId="10037FFE90E4D55B@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A5"/>
    <w:rsid w:val="00015782"/>
    <w:rsid w:val="00027401"/>
    <w:rsid w:val="00031B19"/>
    <w:rsid w:val="000431FC"/>
    <w:rsid w:val="000966A5"/>
    <w:rsid w:val="000A3436"/>
    <w:rsid w:val="000A570C"/>
    <w:rsid w:val="000A5AC9"/>
    <w:rsid w:val="000F355B"/>
    <w:rsid w:val="001327C8"/>
    <w:rsid w:val="00141401"/>
    <w:rsid w:val="00157E13"/>
    <w:rsid w:val="0016489B"/>
    <w:rsid w:val="00172682"/>
    <w:rsid w:val="001B5930"/>
    <w:rsid w:val="001C466A"/>
    <w:rsid w:val="001E3AE5"/>
    <w:rsid w:val="00221F00"/>
    <w:rsid w:val="00233044"/>
    <w:rsid w:val="00243AF9"/>
    <w:rsid w:val="00251461"/>
    <w:rsid w:val="002650B0"/>
    <w:rsid w:val="0029689F"/>
    <w:rsid w:val="002A5B58"/>
    <w:rsid w:val="003212A4"/>
    <w:rsid w:val="00332D5A"/>
    <w:rsid w:val="003420AD"/>
    <w:rsid w:val="00345404"/>
    <w:rsid w:val="003744CB"/>
    <w:rsid w:val="00382101"/>
    <w:rsid w:val="003966A6"/>
    <w:rsid w:val="003B381A"/>
    <w:rsid w:val="003C58D3"/>
    <w:rsid w:val="003F074B"/>
    <w:rsid w:val="00403AC9"/>
    <w:rsid w:val="00405EFC"/>
    <w:rsid w:val="004259BC"/>
    <w:rsid w:val="00440B37"/>
    <w:rsid w:val="00450F2B"/>
    <w:rsid w:val="0045548E"/>
    <w:rsid w:val="00481787"/>
    <w:rsid w:val="00491B35"/>
    <w:rsid w:val="00502539"/>
    <w:rsid w:val="00543505"/>
    <w:rsid w:val="00564CE8"/>
    <w:rsid w:val="005A7B50"/>
    <w:rsid w:val="005F0153"/>
    <w:rsid w:val="00611755"/>
    <w:rsid w:val="00626CBC"/>
    <w:rsid w:val="00633A2F"/>
    <w:rsid w:val="00652F55"/>
    <w:rsid w:val="00693146"/>
    <w:rsid w:val="006A3BC2"/>
    <w:rsid w:val="006F3473"/>
    <w:rsid w:val="007358F5"/>
    <w:rsid w:val="00741C82"/>
    <w:rsid w:val="0074359D"/>
    <w:rsid w:val="0077389A"/>
    <w:rsid w:val="00773D44"/>
    <w:rsid w:val="0079748E"/>
    <w:rsid w:val="007A7B97"/>
    <w:rsid w:val="007B7D1F"/>
    <w:rsid w:val="007D246C"/>
    <w:rsid w:val="007D7354"/>
    <w:rsid w:val="007F401A"/>
    <w:rsid w:val="00806B91"/>
    <w:rsid w:val="0082148C"/>
    <w:rsid w:val="00821CE0"/>
    <w:rsid w:val="00825C0B"/>
    <w:rsid w:val="00827890"/>
    <w:rsid w:val="0083500C"/>
    <w:rsid w:val="00841AF9"/>
    <w:rsid w:val="00843724"/>
    <w:rsid w:val="00853E40"/>
    <w:rsid w:val="00860E13"/>
    <w:rsid w:val="0088450D"/>
    <w:rsid w:val="00891C2A"/>
    <w:rsid w:val="008D0202"/>
    <w:rsid w:val="008D57C0"/>
    <w:rsid w:val="008F41F9"/>
    <w:rsid w:val="00926A6A"/>
    <w:rsid w:val="00934D6C"/>
    <w:rsid w:val="009520CB"/>
    <w:rsid w:val="00973B15"/>
    <w:rsid w:val="0097477D"/>
    <w:rsid w:val="009910D0"/>
    <w:rsid w:val="009A172A"/>
    <w:rsid w:val="009B5B69"/>
    <w:rsid w:val="009C075F"/>
    <w:rsid w:val="00A03715"/>
    <w:rsid w:val="00A230D1"/>
    <w:rsid w:val="00A34D8D"/>
    <w:rsid w:val="00A433C2"/>
    <w:rsid w:val="00A60403"/>
    <w:rsid w:val="00A8588E"/>
    <w:rsid w:val="00AA02BF"/>
    <w:rsid w:val="00AA3D06"/>
    <w:rsid w:val="00AD0191"/>
    <w:rsid w:val="00AF6772"/>
    <w:rsid w:val="00B30D7E"/>
    <w:rsid w:val="00B537E0"/>
    <w:rsid w:val="00B82553"/>
    <w:rsid w:val="00BE4175"/>
    <w:rsid w:val="00BE52CF"/>
    <w:rsid w:val="00BE6FC2"/>
    <w:rsid w:val="00C048D6"/>
    <w:rsid w:val="00C262D9"/>
    <w:rsid w:val="00C52CBA"/>
    <w:rsid w:val="00CA698C"/>
    <w:rsid w:val="00CC0218"/>
    <w:rsid w:val="00D13C3E"/>
    <w:rsid w:val="00D21B05"/>
    <w:rsid w:val="00D774B4"/>
    <w:rsid w:val="00D80E84"/>
    <w:rsid w:val="00D86EE0"/>
    <w:rsid w:val="00D87FB9"/>
    <w:rsid w:val="00DA6B8B"/>
    <w:rsid w:val="00DC0102"/>
    <w:rsid w:val="00ED7F39"/>
    <w:rsid w:val="00EE7747"/>
    <w:rsid w:val="00F04DC2"/>
    <w:rsid w:val="00F275A3"/>
    <w:rsid w:val="00F716D6"/>
    <w:rsid w:val="14B14E3E"/>
    <w:rsid w:val="1ADB7B4B"/>
    <w:rsid w:val="20B7E211"/>
    <w:rsid w:val="2D2E903E"/>
    <w:rsid w:val="3124B52D"/>
    <w:rsid w:val="5F3FF8AD"/>
    <w:rsid w:val="6832691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70E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D21B05"/>
    <w:pPr>
      <w:ind w:left="720"/>
      <w:contextualSpacing/>
    </w:pPr>
    <w:rPr>
      <w:szCs w:val="21"/>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9B5B69"/>
    <w:rPr>
      <w:rFonts w:ascii="Tahoma" w:hAnsi="Tahoma"/>
      <w:sz w:val="16"/>
      <w:szCs w:val="14"/>
    </w:rPr>
  </w:style>
  <w:style w:type="character" w:customStyle="1" w:styleId="TextedebullesCar">
    <w:name w:val="Texte de bulles Car"/>
    <w:basedOn w:val="Policepardfaut"/>
    <w:link w:val="Textedebulles"/>
    <w:rsid w:val="009B5B69"/>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D21B05"/>
    <w:pPr>
      <w:ind w:left="720"/>
      <w:contextualSpacing/>
    </w:pPr>
    <w:rPr>
      <w:szCs w:val="21"/>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9B5B69"/>
    <w:rPr>
      <w:rFonts w:ascii="Tahoma" w:hAnsi="Tahoma"/>
      <w:sz w:val="16"/>
      <w:szCs w:val="14"/>
    </w:rPr>
  </w:style>
  <w:style w:type="character" w:customStyle="1" w:styleId="TextedebullesCar">
    <w:name w:val="Texte de bulles Car"/>
    <w:basedOn w:val="Policepardfaut"/>
    <w:link w:val="Textedebulles"/>
    <w:rsid w:val="009B5B69"/>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542056">
      <w:bodyDiv w:val="1"/>
      <w:marLeft w:val="0"/>
      <w:marRight w:val="0"/>
      <w:marTop w:val="0"/>
      <w:marBottom w:val="0"/>
      <w:divBdr>
        <w:top w:val="none" w:sz="0" w:space="0" w:color="auto"/>
        <w:left w:val="none" w:sz="0" w:space="0" w:color="auto"/>
        <w:bottom w:val="none" w:sz="0" w:space="0" w:color="auto"/>
        <w:right w:val="none" w:sz="0" w:space="0" w:color="auto"/>
      </w:divBdr>
    </w:div>
    <w:div w:id="65226891">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44511567">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351347609">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466896040">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677467199">
      <w:bodyDiv w:val="1"/>
      <w:marLeft w:val="0"/>
      <w:marRight w:val="0"/>
      <w:marTop w:val="0"/>
      <w:marBottom w:val="0"/>
      <w:divBdr>
        <w:top w:val="none" w:sz="0" w:space="0" w:color="auto"/>
        <w:left w:val="none" w:sz="0" w:space="0" w:color="auto"/>
        <w:bottom w:val="none" w:sz="0" w:space="0" w:color="auto"/>
        <w:right w:val="none" w:sz="0" w:space="0" w:color="auto"/>
      </w:divBdr>
    </w:div>
    <w:div w:id="768962046">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896860576">
      <w:bodyDiv w:val="1"/>
      <w:marLeft w:val="0"/>
      <w:marRight w:val="0"/>
      <w:marTop w:val="0"/>
      <w:marBottom w:val="0"/>
      <w:divBdr>
        <w:top w:val="none" w:sz="0" w:space="0" w:color="auto"/>
        <w:left w:val="none" w:sz="0" w:space="0" w:color="auto"/>
        <w:bottom w:val="none" w:sz="0" w:space="0" w:color="auto"/>
        <w:right w:val="none" w:sz="0" w:space="0" w:color="auto"/>
      </w:divBdr>
    </w:div>
    <w:div w:id="934707190">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4454555">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086729751">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0005183">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5963370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031518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37027104">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6410974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05627715">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5779159f971c4bdd" Type="http://schemas.microsoft.com/office/2011/relationships/people" Target="people.xml"/><Relationship Id="R5b5461975555470b"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02D807-441E-403D-A236-E0B31AB7EF46}">
  <ds:schemaRefs>
    <ds:schemaRef ds:uri="http://schemas.microsoft.com/sharepoint/v3/contenttype/forms"/>
  </ds:schemaRefs>
</ds:datastoreItem>
</file>

<file path=customXml/itemProps2.xml><?xml version="1.0" encoding="utf-8"?>
<ds:datastoreItem xmlns:ds="http://schemas.openxmlformats.org/officeDocument/2006/customXml" ds:itemID="{2FA4C1D6-541A-4F8C-86E4-66403E0FF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92EC3F-CAB8-4E8F-BF85-A0F4475EF434}">
  <ds:schemaRefs>
    <ds:schemaRef ds:uri="http://schemas.microsoft.com/office/2006/metadata/properties"/>
    <ds:schemaRef ds:uri="http://schemas.openxmlformats.org/package/2006/metadata/core-propertie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c9f4b70c-db7f-4fd0-9b1d-ebaa300a76c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3806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3</cp:revision>
  <cp:lastPrinted>2015-06-09T08:56:00Z</cp:lastPrinted>
  <dcterms:created xsi:type="dcterms:W3CDTF">2015-07-10T15:19:00Z</dcterms:created>
  <dcterms:modified xsi:type="dcterms:W3CDTF">2015-07-15T09:08:00Z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