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AEB5F" w14:textId="77777777" w:rsidR="00141401" w:rsidRPr="008D57C0" w:rsidRDefault="00806B91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FICHE 1.1.</w:t>
      </w:r>
      <w:r w:rsidR="00481787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6</w:t>
      </w:r>
    </w:p>
    <w:p w14:paraId="4D0AEB60" w14:textId="77777777" w:rsidR="008D57C0" w:rsidRDefault="008D57C0" w:rsidP="00827890">
      <w:pPr>
        <w:pStyle w:val="WW-Standard"/>
        <w:spacing w:after="57"/>
        <w:jc w:val="center"/>
        <w:rPr>
          <w:rFonts w:ascii="Verdana" w:hAnsi="Verdana" w:cs="Verdana"/>
          <w:b/>
          <w:bCs/>
          <w:sz w:val="28"/>
          <w:szCs w:val="28"/>
        </w:rPr>
      </w:pPr>
    </w:p>
    <w:p w14:paraId="4D0AEB61" w14:textId="77777777" w:rsidR="00481787" w:rsidRPr="00481787" w:rsidRDefault="00481787" w:rsidP="00481787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00481787">
        <w:rPr>
          <w:rFonts w:ascii="Verdana" w:hAnsi="Verdana" w:cs="Verdana"/>
          <w:b/>
          <w:bCs/>
          <w:color w:val="FFFFFF"/>
          <w:sz w:val="28"/>
          <w:szCs w:val="28"/>
        </w:rPr>
        <w:t>SOUTENIR LES INITIATIVES DES HABITANTS</w:t>
      </w:r>
    </w:p>
    <w:p w14:paraId="4D0AEB62" w14:textId="77777777"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B8CCE4"/>
        <w:tblLook w:val="01E0" w:firstRow="1" w:lastRow="1" w:firstColumn="1" w:lastColumn="1" w:noHBand="0" w:noVBand="0"/>
      </w:tblPr>
      <w:tblGrid>
        <w:gridCol w:w="2235"/>
        <w:gridCol w:w="8646"/>
      </w:tblGrid>
      <w:tr w:rsidR="00611755" w:rsidRPr="00243AF9" w14:paraId="4D0AEB67" w14:textId="77777777" w:rsidTr="005F0153">
        <w:trPr>
          <w:trHeight w:val="754"/>
        </w:trPr>
        <w:tc>
          <w:tcPr>
            <w:tcW w:w="2235" w:type="dxa"/>
            <w:shd w:val="clear" w:color="auto" w:fill="B8CCE4"/>
            <w:vAlign w:val="center"/>
          </w:tcPr>
          <w:p w14:paraId="4D0AEB63" w14:textId="77777777"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1</w:t>
            </w:r>
          </w:p>
          <w:p w14:paraId="4D0AEB64" w14:textId="77777777"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1</w:t>
            </w:r>
          </w:p>
          <w:p w14:paraId="4D0AEB65" w14:textId="77777777" w:rsidR="005F0153" w:rsidRPr="00243AF9" w:rsidRDefault="005F0153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B8CCE4"/>
            <w:vAlign w:val="center"/>
          </w:tcPr>
          <w:p w14:paraId="4D0AEB66" w14:textId="77777777" w:rsidR="00611755" w:rsidRPr="00405EFC" w:rsidRDefault="00806B91" w:rsidP="00D86EE0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</w:t>
            </w:r>
            <w:r w:rsidR="00481787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: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</w:t>
            </w:r>
            <w:r w:rsidR="00405EFC" w:rsidRPr="00405EFC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Renforcer l’implication et l’expression des habitants, notamment en matière de citoyenneté, laïcité, discriminations, égalité…  </w:t>
            </w:r>
          </w:p>
        </w:tc>
      </w:tr>
    </w:tbl>
    <w:p w14:paraId="4D0AEB68" w14:textId="77777777"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8"/>
        <w:gridCol w:w="8646"/>
      </w:tblGrid>
      <w:tr w:rsidR="00611755" w:rsidRPr="00243AF9" w14:paraId="4D0AEB6D" w14:textId="77777777" w:rsidTr="004A3F57">
        <w:trPr>
          <w:trHeight w:val="150"/>
        </w:trPr>
        <w:tc>
          <w:tcPr>
            <w:tcW w:w="2208" w:type="dxa"/>
            <w:shd w:val="clear" w:color="auto" w:fill="B8CCE4"/>
          </w:tcPr>
          <w:p w14:paraId="4D0AEB69" w14:textId="77777777" w:rsid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14:paraId="4D0AEB6A" w14:textId="0A352412" w:rsidR="00611755" w:rsidRPr="00611755" w:rsidRDefault="00611755" w:rsidP="004A3F57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B8CCE4"/>
          </w:tcPr>
          <w:p w14:paraId="4D0AEB6B" w14:textId="77777777" w:rsidR="002E68AB" w:rsidRPr="002E68AB" w:rsidRDefault="002E68AB" w:rsidP="004A3F57">
            <w:pPr>
              <w:pStyle w:val="TableContents"/>
              <w:spacing w:before="120" w:after="120"/>
              <w:rPr>
                <w:rFonts w:ascii="Verdana" w:hAnsi="Verdana" w:cs="Arial"/>
                <w:bCs/>
                <w:color w:val="1F497D"/>
                <w:sz w:val="20"/>
                <w:szCs w:val="20"/>
              </w:rPr>
            </w:pPr>
            <w:r w:rsidRPr="002E68AB">
              <w:rPr>
                <w:rFonts w:ascii="Verdana" w:hAnsi="Verdana" w:cs="Arial"/>
                <w:color w:val="1F497D"/>
                <w:sz w:val="20"/>
                <w:szCs w:val="20"/>
              </w:rPr>
              <w:t>Tous les projets déclinés sur les territoires sont conçus à destination des habitants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>, avec des degrés différents d’implication de ces derniers</w:t>
            </w:r>
            <w:r w:rsidRPr="002E68AB">
              <w:rPr>
                <w:rFonts w:ascii="Verdana" w:hAnsi="Verdana" w:cs="Arial"/>
                <w:color w:val="1F497D"/>
                <w:sz w:val="20"/>
                <w:szCs w:val="20"/>
              </w:rPr>
              <w:t>.</w:t>
            </w:r>
          </w:p>
          <w:p w14:paraId="4D0AEB6C" w14:textId="77777777" w:rsidR="002E68AB" w:rsidRPr="00243AF9" w:rsidRDefault="002E68AB" w:rsidP="004A3F57">
            <w:pPr>
              <w:pStyle w:val="TableContents"/>
              <w:spacing w:before="120" w:after="120"/>
              <w:rPr>
                <w:rFonts w:ascii="Verdana" w:hAnsi="Verdana" w:cs="Arial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Le ca</w:t>
            </w:r>
            <w:bookmarkStart w:id="0" w:name="_GoBack"/>
            <w:bookmarkEnd w:id="0"/>
            <w:r>
              <w:rPr>
                <w:rFonts w:ascii="Verdana" w:hAnsi="Verdana" w:cs="Arial"/>
                <w:color w:val="1F497D"/>
                <w:sz w:val="20"/>
                <w:szCs w:val="20"/>
              </w:rPr>
              <w:t>dre de référence des conseils citoyens demande de changer de focale</w:t>
            </w:r>
            <w:r w:rsidRPr="002E68AB">
              <w:rPr>
                <w:rFonts w:ascii="Verdana" w:hAnsi="Verdana" w:cs="Arial"/>
                <w:color w:val="1F497D"/>
                <w:sz w:val="20"/>
                <w:szCs w:val="20"/>
              </w:rPr>
              <w:t>,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 « </w:t>
            </w:r>
            <w:r w:rsidRPr="002E68AB">
              <w:rPr>
                <w:rFonts w:ascii="Verdana" w:hAnsi="Verdana" w:cs="Arial"/>
                <w:color w:val="1F497D"/>
                <w:sz w:val="20"/>
                <w:szCs w:val="20"/>
              </w:rPr>
              <w:t xml:space="preserve"> en créant un espace de propositions et d’initiatives à partir des besoins des habitants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>»</w:t>
            </w:r>
            <w:r w:rsidRPr="002E68AB">
              <w:rPr>
                <w:rFonts w:ascii="Verdana" w:hAnsi="Verdana" w:cs="Arial"/>
                <w:color w:val="1F497D"/>
                <w:sz w:val="20"/>
                <w:szCs w:val="20"/>
              </w:rPr>
              <w:t>.</w:t>
            </w:r>
          </w:p>
        </w:tc>
      </w:tr>
      <w:tr w:rsidR="00611755" w:rsidRPr="00243AF9" w14:paraId="4D0AEB76" w14:textId="77777777" w:rsidTr="004A3F57">
        <w:trPr>
          <w:trHeight w:val="142"/>
        </w:trPr>
        <w:tc>
          <w:tcPr>
            <w:tcW w:w="2208" w:type="dxa"/>
            <w:shd w:val="clear" w:color="auto" w:fill="B8CCE4"/>
          </w:tcPr>
          <w:p w14:paraId="4D0AEB6E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Objectifs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et dynamiques</w:t>
            </w:r>
          </w:p>
          <w:p w14:paraId="4D0AEB70" w14:textId="33B5718D" w:rsidR="00611755" w:rsidRPr="008D57C0" w:rsidRDefault="00611755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8646" w:type="dxa"/>
            <w:shd w:val="clear" w:color="auto" w:fill="B8CCE4"/>
          </w:tcPr>
          <w:p w14:paraId="4D0AEB71" w14:textId="77777777" w:rsidR="002E68AB" w:rsidRDefault="002E68AB" w:rsidP="002E68AB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Inciter à une citoyenneté active</w:t>
            </w:r>
          </w:p>
          <w:p w14:paraId="4D0AEB72" w14:textId="77777777" w:rsidR="002E68AB" w:rsidRDefault="002E68AB" w:rsidP="00B656D2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Favoriser la responsabilisation du porteur d’idée</w:t>
            </w:r>
          </w:p>
          <w:p w14:paraId="4D0AEB73" w14:textId="77777777" w:rsidR="002E68AB" w:rsidRDefault="002E68AB" w:rsidP="00B656D2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Accompagner le développement de projet</w:t>
            </w:r>
          </w:p>
          <w:p w14:paraId="4D0AEB75" w14:textId="791BEB5A" w:rsidR="00611755" w:rsidRPr="004A3F57" w:rsidRDefault="00B656D2" w:rsidP="004A3F57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B656D2">
              <w:rPr>
                <w:rFonts w:ascii="Verdana" w:hAnsi="Verdana" w:cs="Arial"/>
                <w:color w:val="1F497D"/>
                <w:sz w:val="20"/>
                <w:szCs w:val="20"/>
              </w:rPr>
              <w:t>Apporter une réponse rapide à un projet par un outil financier permettant d’accompagner des initiatives locales de façon adaptée, souple et rapide </w:t>
            </w:r>
          </w:p>
        </w:tc>
      </w:tr>
      <w:tr w:rsidR="00611755" w:rsidRPr="00243AF9" w14:paraId="4D0AEB7D" w14:textId="77777777" w:rsidTr="004A3F57">
        <w:trPr>
          <w:trHeight w:val="170"/>
        </w:trPr>
        <w:tc>
          <w:tcPr>
            <w:tcW w:w="2208" w:type="dxa"/>
            <w:shd w:val="clear" w:color="auto" w:fill="B8CCE4"/>
          </w:tcPr>
          <w:p w14:paraId="4D0AEB77" w14:textId="77777777"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Réalisations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attendues </w:t>
            </w:r>
          </w:p>
          <w:p w14:paraId="4D0AEB78" w14:textId="52D1EBBD" w:rsidR="00611755" w:rsidRPr="005F0153" w:rsidRDefault="00611755" w:rsidP="004A3F57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B8CCE4"/>
          </w:tcPr>
          <w:p w14:paraId="2FFA9349" w14:textId="77777777" w:rsidR="004A3F57" w:rsidRDefault="002E68AB" w:rsidP="004A3F57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Mettre en place des lieux permettant l’expression d’envies, de besoins</w:t>
            </w:r>
          </w:p>
          <w:p w14:paraId="4D0AEB7A" w14:textId="3AF13029" w:rsidR="00B656D2" w:rsidRPr="004A3F57" w:rsidRDefault="00B656D2" w:rsidP="004A3F57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4A3F57">
              <w:rPr>
                <w:rFonts w:ascii="Verdana" w:hAnsi="Verdana" w:cs="Arial"/>
                <w:color w:val="1F497D"/>
                <w:sz w:val="20"/>
                <w:szCs w:val="20"/>
              </w:rPr>
              <w:t>Maintenir et développer l’ingénierie permettant l’accompagnement à l’émergence de projet.</w:t>
            </w:r>
          </w:p>
          <w:p w14:paraId="4D0AEB7C" w14:textId="7E7EC8A6" w:rsidR="00611755" w:rsidRPr="004A3F57" w:rsidRDefault="00B656D2" w:rsidP="004A3F57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B656D2">
              <w:rPr>
                <w:rFonts w:ascii="Verdana" w:hAnsi="Verdana" w:cs="Arial"/>
                <w:color w:val="1F497D"/>
                <w:sz w:val="20"/>
                <w:szCs w:val="20"/>
              </w:rPr>
              <w:t>Développer le Fonds de participation des habitants, comme outil de financement d’actions de proximité permettant l’implication des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 habitants</w:t>
            </w:r>
          </w:p>
        </w:tc>
      </w:tr>
      <w:tr w:rsidR="00611755" w:rsidRPr="00243AF9" w14:paraId="4D0AEB84" w14:textId="77777777" w:rsidTr="004A3F57">
        <w:tc>
          <w:tcPr>
            <w:tcW w:w="2208" w:type="dxa"/>
            <w:shd w:val="clear" w:color="auto" w:fill="B8CCE4"/>
          </w:tcPr>
          <w:p w14:paraId="4D0AEB7E" w14:textId="77777777"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Effets attendus </w:t>
            </w:r>
          </w:p>
          <w:p w14:paraId="4D0AEB7F" w14:textId="60E4904C" w:rsidR="00611755" w:rsidRPr="00611755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B8CCE4"/>
          </w:tcPr>
          <w:p w14:paraId="4D0AEB80" w14:textId="77777777" w:rsidR="002E68AB" w:rsidRDefault="002E68AB" w:rsidP="002E68AB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Donner confiance dans la capacité d’agir</w:t>
            </w:r>
          </w:p>
          <w:p w14:paraId="4D0AEB81" w14:textId="77777777" w:rsidR="002E68AB" w:rsidRDefault="002E68AB" w:rsidP="002E68AB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P</w:t>
            </w:r>
            <w:r w:rsidRPr="00B656D2">
              <w:rPr>
                <w:rFonts w:ascii="Verdana" w:hAnsi="Verdana" w:cs="Arial"/>
                <w:color w:val="1F497D"/>
                <w:sz w:val="20"/>
                <w:szCs w:val="20"/>
              </w:rPr>
              <w:t>romouvoir les capacités individuelles et collectives à s’organiser,</w:t>
            </w:r>
          </w:p>
          <w:p w14:paraId="4D0AEB82" w14:textId="77777777" w:rsidR="002E68AB" w:rsidRDefault="002E68AB" w:rsidP="002E68AB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Développer les projets de proximité, répondant aux besoins des habitants</w:t>
            </w:r>
          </w:p>
          <w:p w14:paraId="4D0AEB83" w14:textId="77777777" w:rsidR="00611755" w:rsidRDefault="002E68AB" w:rsidP="002E68AB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Renforcer le lien social</w:t>
            </w:r>
          </w:p>
        </w:tc>
      </w:tr>
      <w:tr w:rsidR="00611755" w:rsidRPr="00243AF9" w14:paraId="4D0AEB88" w14:textId="77777777" w:rsidTr="004A3F57">
        <w:tc>
          <w:tcPr>
            <w:tcW w:w="2208" w:type="dxa"/>
            <w:shd w:val="clear" w:color="auto" w:fill="B8CCE4"/>
          </w:tcPr>
          <w:p w14:paraId="4D0AEB85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Territoriale</w:t>
            </w:r>
          </w:p>
          <w:p w14:paraId="4D0AEB86" w14:textId="3B80A786" w:rsidR="00611755" w:rsidRP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B8CCE4"/>
          </w:tcPr>
          <w:p w14:paraId="4D0AEB87" w14:textId="77777777" w:rsidR="00611755" w:rsidRPr="00243AF9" w:rsidRDefault="002E68AB" w:rsidP="00611755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A l’échelle de chaque quartier</w:t>
            </w:r>
          </w:p>
        </w:tc>
      </w:tr>
      <w:tr w:rsidR="00611755" w:rsidRPr="00243AF9" w14:paraId="4D0AEB8C" w14:textId="77777777" w:rsidTr="004A3F57">
        <w:tc>
          <w:tcPr>
            <w:tcW w:w="2208" w:type="dxa"/>
            <w:shd w:val="clear" w:color="auto" w:fill="B8CCE4"/>
          </w:tcPr>
          <w:p w14:paraId="4D0AEB8A" w14:textId="25B6751F" w:rsidR="00611755" w:rsidRPr="004A3F57" w:rsidRDefault="00D87FB9" w:rsidP="004A3F5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8646" w:type="dxa"/>
            <w:shd w:val="clear" w:color="auto" w:fill="B8CCE4"/>
          </w:tcPr>
          <w:p w14:paraId="4D0AEB8B" w14:textId="77777777" w:rsidR="00611755" w:rsidRPr="00243AF9" w:rsidRDefault="002E68AB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Ville</w:t>
            </w:r>
          </w:p>
        </w:tc>
      </w:tr>
      <w:tr w:rsidR="00611755" w:rsidRPr="00243AF9" w14:paraId="4D0AEB96" w14:textId="77777777" w:rsidTr="004A3F57">
        <w:trPr>
          <w:trHeight w:val="95"/>
        </w:trPr>
        <w:tc>
          <w:tcPr>
            <w:tcW w:w="2208" w:type="dxa"/>
            <w:shd w:val="clear" w:color="auto" w:fill="B8CCE4"/>
          </w:tcPr>
          <w:p w14:paraId="4D0AEB8D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Partenaires 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mobilisable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 (dont habitants)</w:t>
            </w:r>
          </w:p>
          <w:p w14:paraId="4D0AEB8E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14:paraId="4D0AEB8F" w14:textId="63B7DD68" w:rsidR="00611755" w:rsidRP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B8CCE4"/>
          </w:tcPr>
          <w:p w14:paraId="4D0AEB90" w14:textId="77777777" w:rsidR="002E68AB" w:rsidRDefault="002E68AB" w:rsidP="002E68AB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7FB9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>Les partenaires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 : </w:t>
            </w: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t>centres sociaux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, </w:t>
            </w: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t>opérateurs associatifs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, </w:t>
            </w: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t>clubs sportif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, </w:t>
            </w: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t>médiateurs de rue, éducateurs spécialisés (Conseil Départemental), adultes relais (Etat), correspondants de quartiers (Bailleurs)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, </w:t>
            </w: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t>CAF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, Conseil Départemental, </w:t>
            </w: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t>DDCS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>, CIDFF, PTCE COOPAXIS.</w:t>
            </w:r>
          </w:p>
          <w:p w14:paraId="4D0AEB91" w14:textId="77777777" w:rsidR="002E68AB" w:rsidRPr="00D17FB9" w:rsidRDefault="002E68AB" w:rsidP="002E68AB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Le conseil citoyen.</w:t>
            </w:r>
          </w:p>
          <w:p w14:paraId="4D0AEB92" w14:textId="77777777" w:rsidR="002E68AB" w:rsidRPr="00D17FB9" w:rsidRDefault="002E68AB" w:rsidP="002E68AB">
            <w:pPr>
              <w:pStyle w:val="TableContents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7FB9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>Les plans et schémas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> :</w:t>
            </w:r>
          </w:p>
          <w:p w14:paraId="4D0AEB93" w14:textId="77777777" w:rsidR="002E68AB" w:rsidRPr="00D17FB9" w:rsidRDefault="002E68AB" w:rsidP="002E68AB">
            <w:pPr>
              <w:pStyle w:val="TableContents"/>
              <w:numPr>
                <w:ilvl w:val="0"/>
                <w:numId w:val="12"/>
              </w:numPr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t>Plan départemental des solidarités et les Projets sociaux de territoire (Conseil Départemental)</w:t>
            </w:r>
          </w:p>
          <w:p w14:paraId="4D0AEB94" w14:textId="77777777" w:rsidR="002E68AB" w:rsidRDefault="002E68AB" w:rsidP="002E68AB">
            <w:pPr>
              <w:pStyle w:val="TableContents"/>
              <w:numPr>
                <w:ilvl w:val="0"/>
                <w:numId w:val="12"/>
              </w:numPr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t>Les Projets sociaux de territoire de certains Centres sociaux et les conventions des centres sociaux (CAF)</w:t>
            </w:r>
          </w:p>
          <w:p w14:paraId="4D0AEB95" w14:textId="77777777" w:rsidR="00611755" w:rsidRPr="00243AF9" w:rsidRDefault="002E68AB" w:rsidP="002E68AB">
            <w:pPr>
              <w:pStyle w:val="TableContents"/>
              <w:numPr>
                <w:ilvl w:val="0"/>
                <w:numId w:val="12"/>
              </w:numPr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t>Les dispositifs de la Prévention spécialisée du Conseil départemental.</w:t>
            </w:r>
          </w:p>
        </w:tc>
      </w:tr>
      <w:tr w:rsidR="00611755" w:rsidRPr="00243AF9" w14:paraId="4D0AEB9F" w14:textId="77777777" w:rsidTr="004A3F57">
        <w:tc>
          <w:tcPr>
            <w:tcW w:w="2208" w:type="dxa"/>
            <w:shd w:val="clear" w:color="auto" w:fill="B8CCE4"/>
          </w:tcPr>
          <w:p w14:paraId="4D0AEB97" w14:textId="77777777"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14:paraId="4D0AEB98" w14:textId="1FB5D2FF"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B8CCE4"/>
          </w:tcPr>
          <w:p w14:paraId="4D0AEB99" w14:textId="77777777" w:rsidR="002E68AB" w:rsidRPr="00D17FB9" w:rsidRDefault="002E68AB" w:rsidP="002E68AB">
            <w:pPr>
              <w:pStyle w:val="TableContents"/>
              <w:widowControl/>
              <w:numPr>
                <w:ilvl w:val="0"/>
                <w:numId w:val="12"/>
              </w:numPr>
              <w:suppressAutoHyphens w:val="0"/>
              <w:spacing w:before="120" w:after="120"/>
              <w:textAlignment w:val="auto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t>Enveloppe spécifique sur la participation des habitants : FPH, créée afin de faciliter l’émergence par les habitants des quartiers, de projets de courte durée ou dont les objectifs ponctuels ne nécessitent qu’un financement de faible montant.</w:t>
            </w:r>
          </w:p>
          <w:p w14:paraId="4D0AEB9A" w14:textId="77777777" w:rsidR="002E68AB" w:rsidRDefault="002E68AB" w:rsidP="002E68AB">
            <w:pPr>
              <w:pStyle w:val="TableContents"/>
              <w:numPr>
                <w:ilvl w:val="0"/>
                <w:numId w:val="12"/>
              </w:numPr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7FB9">
              <w:rPr>
                <w:rFonts w:ascii="Verdana" w:hAnsi="Verdana" w:cs="Arial"/>
                <w:color w:val="1F497D"/>
                <w:sz w:val="20"/>
                <w:szCs w:val="20"/>
              </w:rPr>
              <w:lastRenderedPageBreak/>
              <w:t>Culture (circulaire 21 mai 2015) : les politiques de droit commun et les crédits du programme 147 pourront être déployés. 30% des 6 millions d'euros de nouveaux crédits pour l'éducation artistique et culturelle fléchés vers les "quartiers populaires".</w:t>
            </w:r>
          </w:p>
          <w:p w14:paraId="4D0AEB9B" w14:textId="77777777" w:rsidR="002E68AB" w:rsidRDefault="002E68AB" w:rsidP="002E68AB">
            <w:pPr>
              <w:pStyle w:val="TableContents"/>
              <w:numPr>
                <w:ilvl w:val="0"/>
                <w:numId w:val="12"/>
              </w:numPr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Numérique : Caisse des dépôts et consignation (expérimentation Web académie, tremplin numérique…)</w:t>
            </w:r>
          </w:p>
          <w:p w14:paraId="4D0AEB9C" w14:textId="77777777" w:rsidR="002E68AB" w:rsidRDefault="002E68AB" w:rsidP="002E68AB">
            <w:pPr>
              <w:pStyle w:val="TableContents"/>
              <w:numPr>
                <w:ilvl w:val="0"/>
                <w:numId w:val="12"/>
              </w:numPr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Projet social de territoire : CAF et villes</w:t>
            </w:r>
          </w:p>
          <w:p w14:paraId="4D0AEB9D" w14:textId="77777777" w:rsidR="002E68AB" w:rsidRDefault="002E68AB" w:rsidP="002E68AB">
            <w:pPr>
              <w:pStyle w:val="TableContents"/>
              <w:numPr>
                <w:ilvl w:val="0"/>
                <w:numId w:val="12"/>
              </w:numPr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Appels à projet nationaux de fondations</w:t>
            </w:r>
          </w:p>
          <w:p w14:paraId="4D0AEB9E" w14:textId="77777777" w:rsidR="00611755" w:rsidRPr="00243AF9" w:rsidRDefault="002E68AB" w:rsidP="002E68AB">
            <w:pPr>
              <w:pStyle w:val="TableContents"/>
              <w:numPr>
                <w:ilvl w:val="0"/>
                <w:numId w:val="12"/>
              </w:numPr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Enveloppe projet : de la direction de la prévention spécialisée du Conseil départemental, centre social</w:t>
            </w:r>
          </w:p>
        </w:tc>
      </w:tr>
      <w:tr w:rsidR="00611755" w:rsidRPr="00243AF9" w14:paraId="4D0AEBA3" w14:textId="77777777" w:rsidTr="004A3F57">
        <w:trPr>
          <w:trHeight w:val="272"/>
        </w:trPr>
        <w:tc>
          <w:tcPr>
            <w:tcW w:w="2208" w:type="dxa"/>
            <w:shd w:val="clear" w:color="auto" w:fill="B8CCE4"/>
          </w:tcPr>
          <w:p w14:paraId="4D0AEBA1" w14:textId="14F15615" w:rsidR="00611755" w:rsidRPr="004A3F57" w:rsidRDefault="00611755" w:rsidP="004A3F5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Calendrier</w:t>
            </w:r>
          </w:p>
        </w:tc>
        <w:tc>
          <w:tcPr>
            <w:tcW w:w="8646" w:type="dxa"/>
            <w:shd w:val="clear" w:color="auto" w:fill="B8CCE4"/>
          </w:tcPr>
          <w:p w14:paraId="4D0AEBA2" w14:textId="77777777" w:rsidR="00611755" w:rsidRPr="00243AF9" w:rsidRDefault="002E68AB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Au fil de l’eau</w:t>
            </w:r>
          </w:p>
        </w:tc>
      </w:tr>
      <w:tr w:rsidR="005F0153" w:rsidRPr="00243AF9" w14:paraId="4D0AEBAA" w14:textId="77777777" w:rsidTr="004A3F57">
        <w:tc>
          <w:tcPr>
            <w:tcW w:w="2208" w:type="dxa"/>
            <w:shd w:val="clear" w:color="auto" w:fill="B8CCE4"/>
          </w:tcPr>
          <w:p w14:paraId="4D0AEBA5" w14:textId="45B67624" w:rsidR="005F0153" w:rsidRDefault="005F0153" w:rsidP="004A3F57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</w:tc>
        <w:tc>
          <w:tcPr>
            <w:tcW w:w="8646" w:type="dxa"/>
            <w:shd w:val="clear" w:color="auto" w:fill="B8CCE4"/>
          </w:tcPr>
          <w:p w14:paraId="4D0AEBA6" w14:textId="77777777" w:rsidR="005F0153" w:rsidRDefault="002E68AB" w:rsidP="0061175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Nombre d’envies recueillies</w:t>
            </w:r>
          </w:p>
          <w:p w14:paraId="4D0AEBA7" w14:textId="77777777" w:rsidR="002E68AB" w:rsidRDefault="002E68AB" w:rsidP="0061175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Nombre de projets accompagnés</w:t>
            </w:r>
          </w:p>
          <w:p w14:paraId="4D0AEBA8" w14:textId="77777777" w:rsidR="002E68AB" w:rsidRDefault="002E68AB" w:rsidP="0061175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Nombre de projets développés</w:t>
            </w:r>
          </w:p>
          <w:p w14:paraId="4D0AEBA9" w14:textId="77777777" w:rsidR="002E68AB" w:rsidRDefault="002E68AB" w:rsidP="0061175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Nombre de porteurs</w:t>
            </w:r>
          </w:p>
        </w:tc>
      </w:tr>
      <w:tr w:rsidR="00D87FB9" w:rsidRPr="00243AF9" w14:paraId="4D0AEBB2" w14:textId="77777777" w:rsidTr="004A3F57">
        <w:tc>
          <w:tcPr>
            <w:tcW w:w="2208" w:type="dxa"/>
            <w:shd w:val="clear" w:color="auto" w:fill="B8CCE4"/>
          </w:tcPr>
          <w:p w14:paraId="4D0AEBAB" w14:textId="77777777"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14:paraId="4D0AEBAC" w14:textId="03DF2863"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B8CCE4"/>
          </w:tcPr>
          <w:p w14:paraId="4D0AEBAD" w14:textId="77777777" w:rsidR="002E68AB" w:rsidRDefault="002E68AB" w:rsidP="002E68AB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/Inciter à une citoyenneté active : rapport entre le nombre d’envies exprimées et le nombre d’actions mises en place</w:t>
            </w:r>
          </w:p>
          <w:p w14:paraId="4D0AEBAE" w14:textId="77777777" w:rsidR="002E68AB" w:rsidRDefault="002E68AB" w:rsidP="002E68AB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/Donner confiance dans la capacité d’agir : nombre d’actions initiées ayant abouti</w:t>
            </w:r>
          </w:p>
          <w:p w14:paraId="4D0AEBAF" w14:textId="77777777" w:rsidR="002E68AB" w:rsidRDefault="002E68AB" w:rsidP="002E68AB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/P</w:t>
            </w:r>
            <w:r w:rsidRPr="00B656D2">
              <w:rPr>
                <w:rFonts w:ascii="Verdana" w:hAnsi="Verdana" w:cs="Arial"/>
                <w:color w:val="1F497D"/>
                <w:sz w:val="20"/>
                <w:szCs w:val="20"/>
              </w:rPr>
              <w:t>romouvoir les capacités individuell</w:t>
            </w:r>
            <w:r>
              <w:rPr>
                <w:rFonts w:ascii="Verdana" w:hAnsi="Verdana" w:cs="Arial"/>
                <w:color w:val="1F497D"/>
                <w:sz w:val="20"/>
                <w:szCs w:val="20"/>
              </w:rPr>
              <w:t>es et collectives à s’organiser : nombre de participants à chaque projet</w:t>
            </w:r>
          </w:p>
          <w:p w14:paraId="4D0AEBB0" w14:textId="77777777" w:rsidR="002E68AB" w:rsidRDefault="002E68AB" w:rsidP="002E68AB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/Développer des projets de proximité, répondant aux besoins des habitants : mesure de l’impact du projet perçu par les participants </w:t>
            </w:r>
          </w:p>
          <w:p w14:paraId="4D0AEBB1" w14:textId="77777777" w:rsidR="00D87FB9" w:rsidRDefault="002E68AB" w:rsidP="002E68AB">
            <w:pPr>
              <w:pStyle w:val="TableContents"/>
              <w:numPr>
                <w:ilvl w:val="0"/>
                <w:numId w:val="6"/>
              </w:numPr>
              <w:autoSpaceDN w:val="0"/>
              <w:spacing w:before="120" w:after="120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/Renforcer le lien social : identification des mécanismes ayant permis la mobilisation des habitants sur le projet</w:t>
            </w:r>
          </w:p>
        </w:tc>
      </w:tr>
      <w:tr w:rsidR="00611755" w:rsidRPr="00243AF9" w14:paraId="4D0AEBB8" w14:textId="77777777" w:rsidTr="004A3F57">
        <w:tc>
          <w:tcPr>
            <w:tcW w:w="2208" w:type="dxa"/>
            <w:shd w:val="clear" w:color="auto" w:fill="B8CCE4"/>
          </w:tcPr>
          <w:p w14:paraId="4D0AEBB3" w14:textId="77777777"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646" w:type="dxa"/>
            <w:shd w:val="clear" w:color="auto" w:fill="B8CCE4"/>
          </w:tcPr>
          <w:p w14:paraId="4D0AEBB4" w14:textId="77777777" w:rsidR="00611755" w:rsidRPr="002E68AB" w:rsidRDefault="00250320" w:rsidP="0061175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</w:pPr>
            <w:r w:rsidRPr="002E68AB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>AT lutte contre les discriminations</w:t>
            </w:r>
          </w:p>
          <w:p w14:paraId="4D0AEBB5" w14:textId="77777777" w:rsidR="00250320" w:rsidRDefault="00250320" w:rsidP="002E68AB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2E68AB">
              <w:rPr>
                <w:rFonts w:ascii="Verdana" w:hAnsi="Verdana" w:cs="Arial"/>
                <w:color w:val="1F497D"/>
                <w:sz w:val="20"/>
                <w:szCs w:val="20"/>
              </w:rPr>
              <w:t>Favoriser l’expression des situations vécues par les habitants pour partager et reconnaitre de manière qualitative l’expérience de chacun.</w:t>
            </w:r>
          </w:p>
          <w:p w14:paraId="4D0AEBB6" w14:textId="77777777" w:rsidR="00250320" w:rsidRPr="002E68AB" w:rsidRDefault="002E68AB" w:rsidP="0061175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</w:pPr>
            <w:r w:rsidRPr="002E68AB">
              <w:rPr>
                <w:rFonts w:ascii="Verdana" w:hAnsi="Verdana" w:cs="Arial"/>
                <w:color w:val="1F497D"/>
                <w:sz w:val="20"/>
                <w:szCs w:val="20"/>
                <w:u w:val="single"/>
              </w:rPr>
              <w:t>AT jeunesse :</w:t>
            </w:r>
          </w:p>
          <w:p w14:paraId="4D0AEBB7" w14:textId="77777777" w:rsidR="002E68AB" w:rsidRDefault="002E68AB" w:rsidP="00611755">
            <w:p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2E68AB">
              <w:rPr>
                <w:rFonts w:ascii="Verdana" w:hAnsi="Verdana" w:cs="Arial"/>
                <w:color w:val="1F497D"/>
                <w:sz w:val="20"/>
                <w:szCs w:val="20"/>
              </w:rPr>
              <w:t>le soutien aux initiatives des jeunes sera renforcé</w:t>
            </w:r>
          </w:p>
        </w:tc>
      </w:tr>
    </w:tbl>
    <w:p w14:paraId="4D0AEBB9" w14:textId="77777777"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14:paraId="4D0AEBBA" w14:textId="77777777" w:rsidR="00827890" w:rsidRPr="00827890" w:rsidRDefault="00827890" w:rsidP="007F2864">
      <w:pPr>
        <w:widowControl/>
        <w:suppressAutoHyphens w:val="0"/>
        <w:textAlignment w:val="auto"/>
      </w:pPr>
    </w:p>
    <w:sectPr w:rsidR="00827890" w:rsidRPr="00827890" w:rsidSect="00A433C2">
      <w:footerReference w:type="default" r:id="rId11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AEBBD" w14:textId="77777777" w:rsidR="0082148C" w:rsidRDefault="0082148C" w:rsidP="00A03715">
      <w:pPr>
        <w:pStyle w:val="TableContents"/>
      </w:pPr>
      <w:r>
        <w:separator/>
      </w:r>
    </w:p>
  </w:endnote>
  <w:endnote w:type="continuationSeparator" w:id="0">
    <w:p w14:paraId="4D0AEBBE" w14:textId="77777777" w:rsidR="0082148C" w:rsidRDefault="0082148C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AEBBF" w14:textId="77777777" w:rsidR="00652F55" w:rsidRDefault="00652F55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</w:p>
  <w:p w14:paraId="4D0AEBC0" w14:textId="77777777" w:rsidR="00652F55" w:rsidRDefault="00652F55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 xml:space="preserve">Fiche </w:t>
    </w:r>
    <w:r w:rsidR="00D87FB9">
      <w:rPr>
        <w:rFonts w:ascii="Verdana" w:hAnsi="Verdana" w:cs="Verdana"/>
        <w:sz w:val="16"/>
        <w:szCs w:val="16"/>
      </w:rPr>
      <w:t>orientation opérationnelle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AEBBB" w14:textId="77777777" w:rsidR="0082148C" w:rsidRDefault="0082148C" w:rsidP="00A03715">
      <w:pPr>
        <w:pStyle w:val="TableContents"/>
      </w:pPr>
      <w:r>
        <w:separator/>
      </w:r>
    </w:p>
  </w:footnote>
  <w:footnote w:type="continuationSeparator" w:id="0">
    <w:p w14:paraId="4D0AEBBC" w14:textId="77777777" w:rsidR="0082148C" w:rsidRDefault="0082148C" w:rsidP="00A03715">
      <w:pPr>
        <w:pStyle w:val="TableContents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71C6604"/>
    <w:multiLevelType w:val="hybridMultilevel"/>
    <w:tmpl w:val="E4145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91C72"/>
    <w:multiLevelType w:val="hybridMultilevel"/>
    <w:tmpl w:val="BC9C4D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C1C87"/>
    <w:multiLevelType w:val="hybridMultilevel"/>
    <w:tmpl w:val="59381B8E"/>
    <w:lvl w:ilvl="0" w:tplc="90C66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3470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521E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C3E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86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A27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FEC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B44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EC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AA44022"/>
    <w:multiLevelType w:val="hybridMultilevel"/>
    <w:tmpl w:val="4956E1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3D0C8B"/>
    <w:multiLevelType w:val="hybridMultilevel"/>
    <w:tmpl w:val="B8481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687B0D"/>
    <w:multiLevelType w:val="hybridMultilevel"/>
    <w:tmpl w:val="307EA6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44172B"/>
    <w:multiLevelType w:val="hybridMultilevel"/>
    <w:tmpl w:val="F594BC74"/>
    <w:lvl w:ilvl="0" w:tplc="3A46F8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CA57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1ECE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A4D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74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745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4D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C02A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E405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</w:num>
  <w:num w:numId="5">
    <w:abstractNumId w:val="0"/>
  </w:num>
  <w:num w:numId="6">
    <w:abstractNumId w:val="6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A5"/>
    <w:rsid w:val="00031B19"/>
    <w:rsid w:val="000966A5"/>
    <w:rsid w:val="000A570C"/>
    <w:rsid w:val="000F355B"/>
    <w:rsid w:val="00141401"/>
    <w:rsid w:val="00141F9B"/>
    <w:rsid w:val="00172682"/>
    <w:rsid w:val="001C466A"/>
    <w:rsid w:val="00243AF9"/>
    <w:rsid w:val="00250320"/>
    <w:rsid w:val="00251461"/>
    <w:rsid w:val="002A5B58"/>
    <w:rsid w:val="002E68AB"/>
    <w:rsid w:val="00332D5A"/>
    <w:rsid w:val="003744CB"/>
    <w:rsid w:val="003966A6"/>
    <w:rsid w:val="00405EFC"/>
    <w:rsid w:val="00450F2B"/>
    <w:rsid w:val="00481787"/>
    <w:rsid w:val="004A3F57"/>
    <w:rsid w:val="00543505"/>
    <w:rsid w:val="00564CE8"/>
    <w:rsid w:val="005F0153"/>
    <w:rsid w:val="00611755"/>
    <w:rsid w:val="00626CBC"/>
    <w:rsid w:val="00633A2F"/>
    <w:rsid w:val="00652F55"/>
    <w:rsid w:val="006A3BC2"/>
    <w:rsid w:val="006F3473"/>
    <w:rsid w:val="0074359D"/>
    <w:rsid w:val="00786501"/>
    <w:rsid w:val="007A7B97"/>
    <w:rsid w:val="007B7D1F"/>
    <w:rsid w:val="007D246C"/>
    <w:rsid w:val="007D7354"/>
    <w:rsid w:val="007F2864"/>
    <w:rsid w:val="007F401A"/>
    <w:rsid w:val="00806B91"/>
    <w:rsid w:val="0082148C"/>
    <w:rsid w:val="00827890"/>
    <w:rsid w:val="00841AF9"/>
    <w:rsid w:val="0088450D"/>
    <w:rsid w:val="008D0202"/>
    <w:rsid w:val="008D57C0"/>
    <w:rsid w:val="008E371E"/>
    <w:rsid w:val="00934D6C"/>
    <w:rsid w:val="00973B15"/>
    <w:rsid w:val="009910D0"/>
    <w:rsid w:val="009C075F"/>
    <w:rsid w:val="00A03715"/>
    <w:rsid w:val="00A230D1"/>
    <w:rsid w:val="00A34D8D"/>
    <w:rsid w:val="00A433C2"/>
    <w:rsid w:val="00A60403"/>
    <w:rsid w:val="00B10F35"/>
    <w:rsid w:val="00B656D2"/>
    <w:rsid w:val="00B91BCD"/>
    <w:rsid w:val="00BE52CF"/>
    <w:rsid w:val="00BE6FC2"/>
    <w:rsid w:val="00CC0218"/>
    <w:rsid w:val="00D86EE0"/>
    <w:rsid w:val="00D87FB9"/>
    <w:rsid w:val="00DA6B8B"/>
    <w:rsid w:val="00DC0102"/>
    <w:rsid w:val="00ED7F39"/>
    <w:rsid w:val="00EE7747"/>
    <w:rsid w:val="00F04DC2"/>
    <w:rsid w:val="00F2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0AEB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250320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otedebasdepage">
    <w:name w:val="footnote text"/>
    <w:basedOn w:val="Normal"/>
    <w:link w:val="NotedebasdepageCar"/>
    <w:uiPriority w:val="99"/>
    <w:unhideWhenUsed/>
    <w:rsid w:val="002E68AB"/>
    <w:pPr>
      <w:widowControl/>
      <w:suppressAutoHyphens w:val="0"/>
      <w:spacing w:line="300" w:lineRule="auto"/>
      <w:jc w:val="both"/>
      <w:textAlignment w:val="auto"/>
    </w:pPr>
    <w:rPr>
      <w:rFonts w:ascii="Verdana" w:eastAsia="Times New Roman" w:hAnsi="Verdana" w:cs="Times New Roman"/>
      <w:kern w:val="0"/>
      <w:sz w:val="16"/>
      <w:szCs w:val="20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E68AB"/>
    <w:rPr>
      <w:rFonts w:ascii="Verdana" w:hAnsi="Verdana"/>
      <w:sz w:val="16"/>
    </w:rPr>
  </w:style>
  <w:style w:type="character" w:styleId="Appelnotedebasdep">
    <w:name w:val="footnote reference"/>
    <w:basedOn w:val="Policepardfaut"/>
    <w:uiPriority w:val="99"/>
    <w:unhideWhenUsed/>
    <w:rsid w:val="002E68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250320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otedebasdepage">
    <w:name w:val="footnote text"/>
    <w:basedOn w:val="Normal"/>
    <w:link w:val="NotedebasdepageCar"/>
    <w:uiPriority w:val="99"/>
    <w:unhideWhenUsed/>
    <w:rsid w:val="002E68AB"/>
    <w:pPr>
      <w:widowControl/>
      <w:suppressAutoHyphens w:val="0"/>
      <w:spacing w:line="300" w:lineRule="auto"/>
      <w:jc w:val="both"/>
      <w:textAlignment w:val="auto"/>
    </w:pPr>
    <w:rPr>
      <w:rFonts w:ascii="Verdana" w:eastAsia="Times New Roman" w:hAnsi="Verdana" w:cs="Times New Roman"/>
      <w:kern w:val="0"/>
      <w:sz w:val="16"/>
      <w:szCs w:val="20"/>
      <w:lang w:eastAsia="fr-FR" w:bidi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E68AB"/>
    <w:rPr>
      <w:rFonts w:ascii="Verdana" w:hAnsi="Verdana"/>
      <w:sz w:val="16"/>
    </w:rPr>
  </w:style>
  <w:style w:type="character" w:styleId="Appelnotedebasdep">
    <w:name w:val="footnote reference"/>
    <w:basedOn w:val="Policepardfaut"/>
    <w:uiPriority w:val="99"/>
    <w:unhideWhenUsed/>
    <w:rsid w:val="002E68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44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5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901738-FD37-42E7-A929-CDD8766779C1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c9f4b70c-db7f-4fd0-9b1d-ebaa300a76cc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6C8501-07E4-4617-AFBB-0C8D2C092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674D44-2814-46DE-9BB8-986F61C761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609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Clara MOUSSAUD</cp:lastModifiedBy>
  <cp:revision>5</cp:revision>
  <cp:lastPrinted>2015-07-15T09:16:00Z</cp:lastPrinted>
  <dcterms:created xsi:type="dcterms:W3CDTF">2015-07-10T13:20:00Z</dcterms:created>
  <dcterms:modified xsi:type="dcterms:W3CDTF">2015-07-15T09:16:00Z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