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401" w:rsidRPr="008D57C0" w:rsidRDefault="00806B91" w:rsidP="00827890">
      <w:pPr>
        <w:pStyle w:val="WW-Standard"/>
        <w:spacing w:after="57"/>
        <w:jc w:val="center"/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</w:pPr>
      <w:r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 xml:space="preserve">FICHE </w:t>
      </w:r>
      <w:r w:rsidR="00440B37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3.</w:t>
      </w:r>
      <w:r w:rsidR="00D774B4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2.</w:t>
      </w:r>
      <w:r w:rsidR="00B87257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1</w:t>
      </w:r>
      <w:r w:rsidR="00FC05F5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 xml:space="preserve"> </w:t>
      </w:r>
      <w:r w:rsidR="002C1E51">
        <w:rPr>
          <w:rFonts w:ascii="Verdana" w:hAnsi="Verdana" w:cs="Verdana"/>
          <w:b/>
          <w:bCs/>
          <w:i/>
          <w:color w:val="17365D" w:themeColor="text2" w:themeShade="BF"/>
          <w:sz w:val="16"/>
          <w:szCs w:val="16"/>
        </w:rPr>
        <w:t>(version 2017)</w:t>
      </w:r>
    </w:p>
    <w:p w:rsidR="00D774B4" w:rsidRPr="00491B35" w:rsidRDefault="00D774B4" w:rsidP="00D774B4">
      <w:pPr>
        <w:pStyle w:val="WW-Standard"/>
        <w:shd w:val="clear" w:color="auto" w:fill="1F497D"/>
        <w:spacing w:after="57"/>
        <w:jc w:val="center"/>
        <w:rPr>
          <w:rFonts w:ascii="Verdana" w:hAnsi="Verdana" w:cs="Verdana"/>
          <w:b/>
          <w:bCs/>
          <w:color w:val="FFFFFF"/>
          <w:sz w:val="28"/>
          <w:szCs w:val="28"/>
        </w:rPr>
      </w:pPr>
      <w:r w:rsidRPr="00D774B4">
        <w:rPr>
          <w:rFonts w:ascii="Verdana" w:hAnsi="Verdana" w:cs="Verdana"/>
          <w:b/>
          <w:bCs/>
          <w:color w:val="FFFFFF"/>
          <w:sz w:val="28"/>
          <w:szCs w:val="28"/>
        </w:rPr>
        <w:t>FAVORISER</w:t>
      </w:r>
      <w:r w:rsidR="00B87257">
        <w:rPr>
          <w:rFonts w:ascii="Verdana" w:hAnsi="Verdana" w:cs="Verdana"/>
          <w:b/>
          <w:bCs/>
          <w:color w:val="FFFFFF"/>
          <w:sz w:val="28"/>
          <w:szCs w:val="28"/>
        </w:rPr>
        <w:t>, DEVELOPPER</w:t>
      </w:r>
      <w:r w:rsidRPr="00D774B4">
        <w:rPr>
          <w:rFonts w:ascii="Verdana" w:hAnsi="Verdana" w:cs="Verdana"/>
          <w:b/>
          <w:bCs/>
          <w:color w:val="FFFFFF"/>
          <w:sz w:val="28"/>
          <w:szCs w:val="28"/>
        </w:rPr>
        <w:t xml:space="preserve"> LE MAINT</w:t>
      </w:r>
      <w:r w:rsidR="005D6E5A">
        <w:rPr>
          <w:rFonts w:ascii="Verdana" w:hAnsi="Verdana" w:cs="Verdana"/>
          <w:b/>
          <w:bCs/>
          <w:color w:val="FFFFFF"/>
          <w:sz w:val="28"/>
          <w:szCs w:val="28"/>
        </w:rPr>
        <w:t>IEN ET L’EMERGENCE D’UN TISSU D’</w:t>
      </w:r>
      <w:r w:rsidR="005D6E5A" w:rsidRPr="00D774B4">
        <w:rPr>
          <w:rFonts w:ascii="Verdana" w:hAnsi="Verdana" w:cs="Verdana"/>
          <w:b/>
          <w:bCs/>
          <w:color w:val="FFFFFF"/>
          <w:sz w:val="28"/>
          <w:szCs w:val="28"/>
        </w:rPr>
        <w:t>ACTIVITES</w:t>
      </w:r>
      <w:r w:rsidR="00B87257">
        <w:rPr>
          <w:rFonts w:ascii="Verdana" w:hAnsi="Verdana" w:cs="Verdana"/>
          <w:b/>
          <w:bCs/>
          <w:color w:val="FFFFFF"/>
          <w:sz w:val="28"/>
          <w:szCs w:val="28"/>
        </w:rPr>
        <w:t>, DE</w:t>
      </w:r>
      <w:r w:rsidRPr="00D774B4">
        <w:rPr>
          <w:rFonts w:ascii="Verdana" w:hAnsi="Verdana" w:cs="Verdana"/>
          <w:b/>
          <w:bCs/>
          <w:color w:val="FFFFFF"/>
          <w:sz w:val="28"/>
          <w:szCs w:val="28"/>
        </w:rPr>
        <w:t xml:space="preserve"> </w:t>
      </w:r>
      <w:r w:rsidR="00B87257" w:rsidRPr="00D774B4">
        <w:rPr>
          <w:rFonts w:ascii="Verdana" w:hAnsi="Verdana" w:cs="Verdana"/>
          <w:b/>
          <w:bCs/>
          <w:color w:val="FFFFFF"/>
          <w:sz w:val="28"/>
          <w:szCs w:val="28"/>
        </w:rPr>
        <w:t xml:space="preserve">COMMERCES </w:t>
      </w:r>
      <w:r w:rsidRPr="00D774B4">
        <w:rPr>
          <w:rFonts w:ascii="Verdana" w:hAnsi="Verdana" w:cs="Verdana"/>
          <w:b/>
          <w:bCs/>
          <w:color w:val="FFFFFF"/>
          <w:sz w:val="28"/>
          <w:szCs w:val="28"/>
        </w:rPr>
        <w:t xml:space="preserve">ET </w:t>
      </w:r>
      <w:r w:rsidR="00B87257">
        <w:rPr>
          <w:rFonts w:ascii="Verdana" w:hAnsi="Verdana" w:cs="Verdana"/>
          <w:b/>
          <w:bCs/>
          <w:color w:val="FFFFFF"/>
          <w:sz w:val="28"/>
          <w:szCs w:val="28"/>
        </w:rPr>
        <w:t xml:space="preserve">DE </w:t>
      </w:r>
      <w:r w:rsidRPr="00D774B4">
        <w:rPr>
          <w:rFonts w:ascii="Verdana" w:hAnsi="Verdana" w:cs="Verdana"/>
          <w:b/>
          <w:bCs/>
          <w:color w:val="FFFFFF"/>
          <w:sz w:val="28"/>
          <w:szCs w:val="28"/>
        </w:rPr>
        <w:t>SERVICES DE PROXIMITE</w:t>
      </w:r>
    </w:p>
    <w:p w:rsidR="00611755" w:rsidRDefault="00611755" w:rsidP="00611755">
      <w:pPr>
        <w:pStyle w:val="WW-Standard"/>
        <w:spacing w:after="57"/>
        <w:jc w:val="center"/>
        <w:rPr>
          <w:rFonts w:ascii="Verdana" w:hAnsi="Verdana" w:cs="Verdana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B8CCE4"/>
        <w:tblLook w:val="01E0"/>
      </w:tblPr>
      <w:tblGrid>
        <w:gridCol w:w="2235"/>
        <w:gridCol w:w="8646"/>
      </w:tblGrid>
      <w:tr w:rsidR="00611755" w:rsidRPr="00243AF9" w:rsidTr="005F0153">
        <w:trPr>
          <w:trHeight w:val="754"/>
        </w:trPr>
        <w:tc>
          <w:tcPr>
            <w:tcW w:w="2235" w:type="dxa"/>
            <w:shd w:val="clear" w:color="auto" w:fill="B8CCE4"/>
            <w:vAlign w:val="center"/>
          </w:tcPr>
          <w:p w:rsidR="00611755" w:rsidRDefault="00611755" w:rsidP="00611755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Pilier</w:t>
            </w:r>
            <w:r w:rsidR="00CA698C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3</w:t>
            </w:r>
          </w:p>
          <w:p w:rsidR="005F0153" w:rsidRPr="00243AF9" w:rsidRDefault="00611755" w:rsidP="00BE4175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Axe</w:t>
            </w:r>
            <w:r w:rsidR="00806B9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</w:t>
            </w:r>
            <w:r w:rsidR="00821CE0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2</w:t>
            </w:r>
          </w:p>
        </w:tc>
        <w:tc>
          <w:tcPr>
            <w:tcW w:w="8646" w:type="dxa"/>
            <w:shd w:val="clear" w:color="auto" w:fill="B8CCE4"/>
            <w:vAlign w:val="center"/>
          </w:tcPr>
          <w:p w:rsidR="00611755" w:rsidRPr="00405EFC" w:rsidRDefault="00806B91" w:rsidP="00CA698C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Enjeu</w:t>
            </w:r>
            <w:r w:rsidR="00481787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: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</w:t>
            </w:r>
            <w:r w:rsidR="000A3436" w:rsidRPr="000A3436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Développer l’activité économique au profit des habitants des quartiers prioritaires</w:t>
            </w:r>
          </w:p>
        </w:tc>
      </w:tr>
    </w:tbl>
    <w:p w:rsidR="00611755" w:rsidRPr="00243AF9" w:rsidRDefault="00611755" w:rsidP="00611755">
      <w:pPr>
        <w:pStyle w:val="WW-Standard"/>
        <w:spacing w:after="57"/>
        <w:jc w:val="center"/>
        <w:rPr>
          <w:rFonts w:ascii="Verdana" w:hAnsi="Verdana" w:cs="Verdana"/>
          <w:b/>
          <w:bCs/>
          <w:color w:val="1F497D"/>
          <w:sz w:val="20"/>
          <w:szCs w:val="20"/>
        </w:rPr>
      </w:pPr>
    </w:p>
    <w:tbl>
      <w:tblPr>
        <w:tblW w:w="10854" w:type="dxa"/>
        <w:tblInd w:w="-7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345"/>
        <w:gridCol w:w="8509"/>
      </w:tblGrid>
      <w:tr w:rsidR="00611755" w:rsidRPr="00243AF9" w:rsidTr="7463BFD2">
        <w:trPr>
          <w:trHeight w:val="150"/>
        </w:trPr>
        <w:tc>
          <w:tcPr>
            <w:tcW w:w="2340" w:type="dxa"/>
            <w:shd w:val="clear" w:color="auto" w:fill="B8CCE4" w:themeFill="accent1" w:themeFillTint="66"/>
          </w:tcPr>
          <w:p w:rsidR="00611755" w:rsidRDefault="00611755" w:rsidP="00611755">
            <w:pPr>
              <w:pStyle w:val="TableContents"/>
              <w:snapToGrid w:val="0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Contexte </w:t>
            </w:r>
          </w:p>
          <w:p w:rsidR="00FC05F5" w:rsidRDefault="00FC05F5" w:rsidP="00FC05F5">
            <w:pPr>
              <w:pStyle w:val="TableContents"/>
              <w:snapToGrid w:val="0"/>
              <w:spacing w:before="120" w:after="120"/>
              <w:ind w:left="71" w:right="14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i/>
                <w:color w:val="FF0000"/>
                <w:sz w:val="20"/>
                <w:szCs w:val="20"/>
              </w:rPr>
              <w:t>Actualisation si possibilité</w:t>
            </w:r>
          </w:p>
          <w:p w:rsidR="00FC05F5" w:rsidRDefault="00FC05F5" w:rsidP="00611755">
            <w:pPr>
              <w:pStyle w:val="TableContents"/>
              <w:snapToGrid w:val="0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  <w:p w:rsidR="00611755" w:rsidRPr="00611755" w:rsidRDefault="00611755" w:rsidP="00611755">
            <w:pPr>
              <w:pStyle w:val="TableContents"/>
              <w:snapToGrid w:val="0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490" w:type="dxa"/>
            <w:shd w:val="clear" w:color="auto" w:fill="B8CCE4" w:themeFill="accent1" w:themeFillTint="66"/>
          </w:tcPr>
          <w:p w:rsidR="00F22558" w:rsidRPr="00963B0F" w:rsidRDefault="00F22558" w:rsidP="00ED0F1C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 w:rsidRPr="00963B0F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L’activité économique dans les quartiers se réfère essentiellement à l’économie </w:t>
            </w:r>
            <w:r w:rsidR="00ED0F1C" w:rsidRPr="00963B0F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résidentielle et/ou présentielle. </w:t>
            </w:r>
            <w:r w:rsidR="00152BE1" w:rsidRPr="00963B0F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Sans </w:t>
            </w:r>
            <w:r w:rsidR="00ED0F1C" w:rsidRPr="00963B0F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constitue</w:t>
            </w:r>
            <w:r w:rsidR="00152BE1" w:rsidRPr="00963B0F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r une réponse  unique à la question de l’emploi qui se joue</w:t>
            </w:r>
            <w:r w:rsidR="00C13A4E" w:rsidRPr="00963B0F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essentiellement </w:t>
            </w:r>
            <w:r w:rsidR="00152BE1" w:rsidRPr="00963B0F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à une échelle pl</w:t>
            </w:r>
            <w:r w:rsidR="0010576C" w:rsidRPr="00963B0F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us large</w:t>
            </w:r>
            <w:r w:rsidR="00337CB4" w:rsidRPr="00963B0F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, elle y contribue néanmoins pour partie. </w:t>
            </w:r>
          </w:p>
          <w:p w:rsidR="00337CB4" w:rsidRPr="00963B0F" w:rsidRDefault="00337CB4" w:rsidP="00ED0F1C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 w:rsidRPr="00963B0F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La présence d’activités dans les quartiers est par ailleurs un facteur d’équilibre, de dynamisme et de désenclavement, en maintenant une offre de services nécessaire aux habitants, notamment les moins mobiles (commerces</w:t>
            </w:r>
            <w:r w:rsidR="00C13A4E" w:rsidRPr="00963B0F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et services de proximité)</w:t>
            </w:r>
            <w:r w:rsidR="002041F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.</w:t>
            </w:r>
            <w:r w:rsidR="00C13A4E" w:rsidRPr="00963B0F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</w:t>
            </w:r>
            <w:r w:rsidR="002041F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Elles </w:t>
            </w:r>
            <w:r w:rsidR="00C13A4E" w:rsidRPr="00963B0F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permett</w:t>
            </w:r>
            <w:r w:rsidR="002041F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e</w:t>
            </w:r>
            <w:r w:rsidR="00C13A4E" w:rsidRPr="00963B0F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nt </w:t>
            </w:r>
            <w:r w:rsidR="002041F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également à</w:t>
            </w:r>
            <w:r w:rsidR="00C13A4E" w:rsidRPr="00963B0F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des personnes extérieures au quartier </w:t>
            </w:r>
            <w:r w:rsidR="002041F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d’</w:t>
            </w:r>
            <w:r w:rsidR="00C13A4E" w:rsidRPr="00963B0F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y</w:t>
            </w:r>
            <w:r w:rsidR="002041F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venir travailler et consommer.</w:t>
            </w:r>
          </w:p>
          <w:p w:rsidR="00C13A4E" w:rsidRDefault="006A0A01" w:rsidP="00963B0F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TMVL</w:t>
            </w:r>
            <w:r w:rsidR="002041F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et les v</w:t>
            </w:r>
            <w:r w:rsidR="00963B0F" w:rsidRPr="00963B0F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illes se sont </w:t>
            </w:r>
            <w:r w:rsidR="00F4309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déjà engagé</w:t>
            </w:r>
            <w:r w:rsidR="00963B0F" w:rsidRPr="00963B0F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s pour maintenir et développer l’activité économique dans les quartiers, à travers la création de deux pépinières d’entreprises, des travaux de requalification de centres commerciaux</w:t>
            </w:r>
            <w:r w:rsidR="002041F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et un</w:t>
            </w:r>
            <w:r w:rsidR="00963B0F" w:rsidRPr="00963B0F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soutien aux </w:t>
            </w:r>
            <w:r w:rsidR="00F4309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structures d’économie </w:t>
            </w:r>
            <w:r w:rsidR="002041F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sociale et </w:t>
            </w:r>
            <w:r w:rsidR="00F4309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solidaire.</w:t>
            </w:r>
          </w:p>
          <w:p w:rsidR="00611755" w:rsidRPr="004D2790" w:rsidRDefault="002041FC" w:rsidP="002041FC">
            <w:pPr>
              <w:numPr>
                <w:ilvl w:val="0"/>
                <w:numId w:val="7"/>
              </w:numPr>
              <w:spacing w:before="120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C</w:t>
            </w:r>
            <w:r w:rsidR="00FC2250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ertains </w:t>
            </w:r>
            <w:r w:rsidR="00FC2250" w:rsidRPr="00FC2250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espaces commerciaux </w:t>
            </w:r>
            <w:r w:rsidR="00FC2250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rencontrent de fortes</w:t>
            </w:r>
            <w:r w:rsidR="00FC2250" w:rsidRPr="00FC2250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difficulté</w:t>
            </w:r>
            <w:r w:rsidR="00FC2250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s</w:t>
            </w:r>
            <w:r w:rsidR="004D2790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en raison </w:t>
            </w:r>
            <w:r w:rsidR="00F4309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de leur enclavement </w:t>
            </w:r>
            <w:r w:rsidR="00FC2250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(manque de visibilité, </w:t>
            </w:r>
            <w:r w:rsidR="00FC2250" w:rsidRPr="00FC2250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bâti inadapté</w:t>
            </w:r>
            <w:r w:rsidR="004D2790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) et de problématiques récurrentes de</w:t>
            </w:r>
            <w:r w:rsidR="00F4309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sécurité</w:t>
            </w:r>
            <w:r w:rsidR="004D2790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mais aussi par</w:t>
            </w: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ce</w:t>
            </w:r>
            <w:r w:rsidR="004D2790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qu’ils sont confrontés à des effets de concurrence (</w:t>
            </w:r>
            <w:r w:rsidR="004D2790" w:rsidRPr="004D2790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grandes surfaces peu</w:t>
            </w:r>
            <w:r w:rsidR="004D2790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éloignées, proximité </w:t>
            </w:r>
            <w:r w:rsidR="004D2790" w:rsidRPr="004D2790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de</w:t>
            </w:r>
            <w:r w:rsidR="004D2790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commerces de centre-ville…</w:t>
            </w:r>
            <w:r w:rsidR="00F4309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) </w:t>
            </w:r>
            <w:r w:rsidR="004D2790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dans un contexte où</w:t>
            </w:r>
            <w:r w:rsidR="004D2790" w:rsidRPr="004D2790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l’agglomération de Tours est connue pour avoir un taux d’équipement commercial parmi les plus élevés de France.</w:t>
            </w:r>
          </w:p>
        </w:tc>
      </w:tr>
      <w:tr w:rsidR="00611755" w:rsidRPr="00243AF9" w:rsidTr="7463BFD2">
        <w:trPr>
          <w:trHeight w:val="142"/>
        </w:trPr>
        <w:tc>
          <w:tcPr>
            <w:tcW w:w="2340" w:type="dxa"/>
            <w:shd w:val="clear" w:color="auto" w:fill="B8CCE4" w:themeFill="accent1" w:themeFillTint="66"/>
          </w:tcPr>
          <w:p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Objectifs 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et dynamiques</w:t>
            </w:r>
          </w:p>
          <w:p w:rsidR="00611755" w:rsidRPr="008D57C0" w:rsidRDefault="00611755" w:rsidP="008D57C0">
            <w:pPr>
              <w:pStyle w:val="TableContents"/>
              <w:autoSpaceDN w:val="0"/>
              <w:spacing w:before="120" w:after="120"/>
              <w:jc w:val="both"/>
              <w:rPr>
                <w:rFonts w:ascii="Verdana" w:hAnsi="Verdana" w:cs="Arial"/>
                <w:i/>
                <w:color w:val="1F497D"/>
                <w:sz w:val="16"/>
                <w:szCs w:val="20"/>
              </w:rPr>
            </w:pPr>
          </w:p>
        </w:tc>
        <w:tc>
          <w:tcPr>
            <w:tcW w:w="8490" w:type="dxa"/>
            <w:shd w:val="clear" w:color="auto" w:fill="B8CCE4" w:themeFill="accent1" w:themeFillTint="66"/>
          </w:tcPr>
          <w:p w:rsidR="002041FC" w:rsidRPr="008A59ED" w:rsidRDefault="002041FC" w:rsidP="002041FC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Assurer une meilleure synergie entre les acteurs du développement économique et les acteurs de la Politique de la Ville, au profit du soutien des opérateurs du développement économique des quartiers</w:t>
            </w:r>
          </w:p>
          <w:p w:rsidR="008A59ED" w:rsidRPr="008A59ED" w:rsidRDefault="002041FC" w:rsidP="008A59ED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F</w:t>
            </w:r>
            <w:r w:rsidR="008A59ED" w:rsidRPr="008A59ED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aciliter l’installation et le maintien </w:t>
            </w: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des entreprises sur les quartiers</w:t>
            </w:r>
          </w:p>
          <w:p w:rsidR="008A59ED" w:rsidRPr="008A59ED" w:rsidRDefault="008A59ED" w:rsidP="008A59ED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 w:rsidRPr="008A59ED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Accompagner l’implantation de l’artisanat dans les quartiers</w:t>
            </w:r>
          </w:p>
          <w:p w:rsidR="00611755" w:rsidRDefault="75C61660" w:rsidP="75C61660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eastAsia="Verdana" w:hAnsi="Verdana" w:cs="Verdana"/>
                <w:bCs/>
                <w:color w:val="1F497D"/>
                <w:sz w:val="18"/>
                <w:szCs w:val="18"/>
              </w:rPr>
            </w:pPr>
            <w:r w:rsidRPr="75C61660">
              <w:rPr>
                <w:rFonts w:ascii="Verdana" w:eastAsia="Verdana" w:hAnsi="Verdana" w:cs="Verdana"/>
                <w:color w:val="1F497D" w:themeColor="text2"/>
                <w:sz w:val="18"/>
                <w:szCs w:val="18"/>
              </w:rPr>
              <w:t xml:space="preserve">Continuer à requalifier les commerces existants et favoriser leur ajustement aux caractéristiques du marché local </w:t>
            </w:r>
          </w:p>
          <w:p w:rsidR="008A59ED" w:rsidRPr="005F0153" w:rsidRDefault="008A59ED" w:rsidP="002041FC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  <w:r w:rsidRPr="008A59ED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Assurer la sécurisation et la bonne intégration </w:t>
            </w:r>
            <w:r w:rsidR="002041F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des </w:t>
            </w:r>
            <w:r w:rsidRPr="008A59ED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locaux commerciaux et d’activité</w:t>
            </w:r>
            <w:r w:rsidR="002041FC" w:rsidRPr="008A59ED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au sein des quartiers</w:t>
            </w:r>
            <w:r w:rsidR="002041F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.</w:t>
            </w:r>
          </w:p>
        </w:tc>
      </w:tr>
      <w:tr w:rsidR="00611755" w:rsidRPr="00243AF9" w:rsidTr="7463BFD2">
        <w:trPr>
          <w:trHeight w:val="170"/>
        </w:trPr>
        <w:tc>
          <w:tcPr>
            <w:tcW w:w="2340" w:type="dxa"/>
            <w:shd w:val="clear" w:color="auto" w:fill="B8CCE4" w:themeFill="accent1" w:themeFillTint="66"/>
          </w:tcPr>
          <w:p w:rsidR="005F0153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Réalisations</w:t>
            </w: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attendues </w:t>
            </w:r>
          </w:p>
          <w:p w:rsidR="00611755" w:rsidRPr="005F0153" w:rsidRDefault="00611755" w:rsidP="005F0153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490" w:type="dxa"/>
            <w:shd w:val="clear" w:color="auto" w:fill="B8CCE4" w:themeFill="accent1" w:themeFillTint="66"/>
          </w:tcPr>
          <w:p w:rsidR="002041FC" w:rsidRDefault="002041FC" w:rsidP="002041FC">
            <w:pPr>
              <w:pStyle w:val="Paragraphedeliste"/>
              <w:numPr>
                <w:ilvl w:val="0"/>
                <w:numId w:val="7"/>
              </w:numPr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Mise en place d’un groupe de travail Politique de la ville/Développement économique et définition des outils </w:t>
            </w:r>
            <w:proofErr w:type="spellStart"/>
            <w:r w:rsidRPr="00FC05F5">
              <w:rPr>
                <w:rFonts w:ascii="Verdana" w:hAnsi="Verdana" w:cs="Verdana"/>
                <w:bCs/>
                <w:i/>
                <w:color w:val="1F497D"/>
                <w:sz w:val="18"/>
                <w:szCs w:val="18"/>
              </w:rPr>
              <w:t>adhoc</w:t>
            </w:r>
            <w:proofErr w:type="spellEnd"/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aux besoins identifiés.</w:t>
            </w:r>
          </w:p>
          <w:p w:rsidR="002041FC" w:rsidRDefault="002041FC" w:rsidP="002041FC">
            <w:pPr>
              <w:pStyle w:val="Paragraphedeliste"/>
              <w:numPr>
                <w:ilvl w:val="0"/>
                <w:numId w:val="7"/>
              </w:numPr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Amélioration de la connaissance des besoins spécifiques  des créateurs et entrepreneurs par le biais de sollicitation des ressources existantes, d’enquêtes complémentaires, de permanences d’information, etc… </w:t>
            </w:r>
          </w:p>
          <w:p w:rsidR="00BD78C3" w:rsidRDefault="00BD78C3" w:rsidP="002041FC">
            <w:pPr>
              <w:pStyle w:val="Paragraphedeliste"/>
              <w:numPr>
                <w:ilvl w:val="0"/>
                <w:numId w:val="7"/>
              </w:numPr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Susciter l’envie d’entreprendre</w:t>
            </w:r>
          </w:p>
          <w:p w:rsidR="008A59ED" w:rsidRDefault="008A59ED" w:rsidP="000837B5">
            <w:pPr>
              <w:widowControl/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  <w:u w:val="single"/>
              </w:rPr>
            </w:pPr>
            <w:r w:rsidRPr="000837B5">
              <w:rPr>
                <w:rFonts w:ascii="Verdana" w:hAnsi="Verdana" w:cs="Verdana"/>
                <w:bCs/>
                <w:color w:val="1F497D"/>
                <w:sz w:val="18"/>
                <w:szCs w:val="18"/>
                <w:u w:val="single"/>
              </w:rPr>
              <w:t>O</w:t>
            </w:r>
            <w:r w:rsidR="002041FC">
              <w:rPr>
                <w:rFonts w:ascii="Verdana" w:hAnsi="Verdana" w:cs="Verdana"/>
                <w:bCs/>
                <w:color w:val="1F497D"/>
                <w:sz w:val="18"/>
                <w:szCs w:val="18"/>
                <w:u w:val="single"/>
              </w:rPr>
              <w:t>ffre de service aux entreprises pour faciliter leur installation et leur maintien de leur activité post-création :</w:t>
            </w:r>
          </w:p>
          <w:p w:rsidR="004240AF" w:rsidRDefault="004240AF" w:rsidP="000837B5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Réflexion sur le développement d’une </w:t>
            </w:r>
            <w:r w:rsidR="004E4331" w:rsidRPr="008A59ED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offre </w:t>
            </w: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d’immobilier d’entreprises </w:t>
            </w:r>
            <w:r w:rsidR="00F76EBE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accessible financièrement </w:t>
            </w: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(notamment sur les secteurs non couverts comme à Saint-Pierre-Des-Corps) : </w:t>
            </w:r>
            <w:r w:rsidR="004E4331" w:rsidRPr="008A59ED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centre d’</w:t>
            </w: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affaires, </w:t>
            </w:r>
            <w:r w:rsidR="00F76EBE" w:rsidRPr="004240AF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hôtels d’entreprises</w:t>
            </w:r>
            <w:r w:rsidR="00F76EBE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,</w:t>
            </w:r>
            <w:r w:rsidR="00F76EBE" w:rsidRPr="004240AF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locaux pour artisans…</w:t>
            </w:r>
            <w:r w:rsidR="004E4331" w:rsidRPr="008A59ED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; </w:t>
            </w:r>
          </w:p>
          <w:p w:rsidR="00F76EBE" w:rsidRDefault="004240AF" w:rsidP="00F76EBE">
            <w:pPr>
              <w:pStyle w:val="Paragraphedeliste"/>
              <w:numPr>
                <w:ilvl w:val="0"/>
                <w:numId w:val="7"/>
              </w:numPr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 w:rsidRPr="00F76EBE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Développement de services </w:t>
            </w:r>
            <w:r w:rsidR="00F76EBE" w:rsidRPr="00F76EBE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et de conseils aux créateurs et aux entrepreneurs des quartiers : accès au crédit; systèmes d’alertes en cas de difficultés;</w:t>
            </w:r>
            <w:r w:rsidR="00F76EBE">
              <w:t xml:space="preserve"> </w:t>
            </w:r>
            <w:r w:rsidR="00F76EBE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r</w:t>
            </w:r>
            <w:r w:rsidR="00F76EBE" w:rsidRPr="00F76EBE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en</w:t>
            </w:r>
            <w:r w:rsidR="002C5295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forcement des liens avec les </w:t>
            </w:r>
            <w:r w:rsidR="00F76EBE" w:rsidRPr="00F76EBE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opérateurs de la création d’entreprise (ADIE, BG</w:t>
            </w:r>
            <w:r w:rsidR="002041F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E</w:t>
            </w:r>
            <w:r w:rsidR="00F76EBE" w:rsidRPr="00F76EBE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)</w:t>
            </w:r>
            <w:r w:rsidR="00F76EBE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, etc.</w:t>
            </w:r>
          </w:p>
          <w:p w:rsidR="004E4331" w:rsidRPr="000837B5" w:rsidRDefault="004E4331" w:rsidP="000837B5">
            <w:pPr>
              <w:widowControl/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  <w:u w:val="single"/>
              </w:rPr>
            </w:pPr>
            <w:r w:rsidRPr="000837B5">
              <w:rPr>
                <w:rFonts w:ascii="Verdana" w:hAnsi="Verdana" w:cs="Verdana"/>
                <w:bCs/>
                <w:color w:val="1F497D"/>
                <w:sz w:val="18"/>
                <w:szCs w:val="18"/>
                <w:u w:val="single"/>
              </w:rPr>
              <w:t xml:space="preserve">Commerces </w:t>
            </w:r>
          </w:p>
          <w:p w:rsidR="00FC2250" w:rsidRPr="000837B5" w:rsidRDefault="000837B5" w:rsidP="000837B5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 w:rsidRPr="000837B5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Diagnostic </w:t>
            </w:r>
            <w:r w:rsidR="00FC2250" w:rsidRPr="000837B5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EPARECA sur les ce</w:t>
            </w:r>
            <w:r w:rsidRPr="000837B5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ntres commerciaux </w:t>
            </w:r>
            <w:r w:rsidR="002041F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au </w:t>
            </w:r>
            <w:r w:rsidR="002041FC" w:rsidRPr="000837B5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Sanitas </w:t>
            </w:r>
            <w:r w:rsidR="002041F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à Tours (</w:t>
            </w:r>
            <w:r w:rsidRPr="000837B5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Saint-Paul, La Rotonde,</w:t>
            </w:r>
            <w:r w:rsidR="002041F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Place neuve),</w:t>
            </w:r>
            <w:r w:rsidRPr="000837B5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Centre commercial Rabaterie</w:t>
            </w:r>
            <w:r w:rsidR="002041F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à St Pierre des </w:t>
            </w:r>
            <w:r w:rsidR="00FC05F5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C</w:t>
            </w:r>
            <w:bookmarkStart w:id="0" w:name="_GoBack"/>
            <w:bookmarkEnd w:id="0"/>
            <w:r w:rsidR="002041F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orps.</w:t>
            </w:r>
          </w:p>
          <w:p w:rsidR="000837B5" w:rsidRPr="000837B5" w:rsidRDefault="002041FC" w:rsidP="000837B5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Requalification du pôle commercial du 11 novembre à </w:t>
            </w:r>
            <w:r w:rsidR="000837B5" w:rsidRPr="000837B5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La Riche</w:t>
            </w: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.</w:t>
            </w:r>
          </w:p>
          <w:p w:rsidR="002041FC" w:rsidRDefault="000837B5" w:rsidP="002041FC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 w:rsidRPr="000837B5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G</w:t>
            </w:r>
            <w:r w:rsidR="00FC2250" w:rsidRPr="000837B5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roupe de travail inter-partenarial sur le thème de l’avenir du commerce de proximité dans les quartie</w:t>
            </w:r>
            <w:r w:rsidR="002041F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rs du Contrat de Ville</w:t>
            </w:r>
          </w:p>
          <w:p w:rsidR="00611755" w:rsidRPr="00F76EBE" w:rsidRDefault="000837B5" w:rsidP="002041FC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 w:rsidRPr="000837B5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Attention particulière au thème de la sécurisation des commerces dans le cadre des démarches GUP</w:t>
            </w:r>
          </w:p>
        </w:tc>
      </w:tr>
      <w:tr w:rsidR="00611755" w:rsidRPr="00243AF9" w:rsidTr="7463BFD2">
        <w:tc>
          <w:tcPr>
            <w:tcW w:w="2340" w:type="dxa"/>
            <w:shd w:val="clear" w:color="auto" w:fill="B8CCE4" w:themeFill="accent1" w:themeFillTint="66"/>
          </w:tcPr>
          <w:p w:rsidR="005F0153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Effets attendus </w:t>
            </w:r>
          </w:p>
          <w:p w:rsidR="00611755" w:rsidRPr="00611755" w:rsidRDefault="00611755" w:rsidP="002041FC">
            <w:pPr>
              <w:pStyle w:val="TableContents"/>
              <w:spacing w:before="120" w:after="120"/>
              <w:ind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490" w:type="dxa"/>
            <w:shd w:val="clear" w:color="auto" w:fill="B8CCE4" w:themeFill="accent1" w:themeFillTint="66"/>
          </w:tcPr>
          <w:p w:rsidR="00F76EBE" w:rsidRPr="002C5295" w:rsidRDefault="00F76EBE" w:rsidP="002C5295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lastRenderedPageBreak/>
              <w:t>Dévelo</w:t>
            </w:r>
            <w:r w:rsidR="002C5295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ppement et s</w:t>
            </w:r>
            <w:r w:rsidRPr="002C5295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écurisation de la création</w:t>
            </w:r>
          </w:p>
          <w:p w:rsidR="00F76EBE" w:rsidRDefault="00F76EBE" w:rsidP="00F76EBE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Maintien des entreprises existantes</w:t>
            </w:r>
          </w:p>
          <w:p w:rsidR="00BD78C3" w:rsidRPr="00F76EBE" w:rsidRDefault="00BD78C3" w:rsidP="00F76EBE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lastRenderedPageBreak/>
              <w:t>Développement de l’envie d’entreprendre</w:t>
            </w:r>
          </w:p>
        </w:tc>
      </w:tr>
      <w:tr w:rsidR="00611755" w:rsidRPr="00243AF9" w:rsidTr="7463BFD2">
        <w:tc>
          <w:tcPr>
            <w:tcW w:w="2340" w:type="dxa"/>
            <w:shd w:val="clear" w:color="auto" w:fill="B8CCE4" w:themeFill="accent1" w:themeFillTint="66"/>
          </w:tcPr>
          <w:p w:rsidR="00611755" w:rsidRPr="002041FC" w:rsidRDefault="00611755" w:rsidP="002041FC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lastRenderedPageBreak/>
              <w:t>Echelle 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Territoriale</w:t>
            </w:r>
          </w:p>
        </w:tc>
        <w:tc>
          <w:tcPr>
            <w:tcW w:w="8490" w:type="dxa"/>
            <w:shd w:val="clear" w:color="auto" w:fill="B8CCE4" w:themeFill="accent1" w:themeFillTint="66"/>
          </w:tcPr>
          <w:p w:rsidR="00611755" w:rsidRPr="00F76EBE" w:rsidRDefault="00F76EBE" w:rsidP="00F76EBE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Ensemble des quartiers prioritaires</w:t>
            </w:r>
          </w:p>
        </w:tc>
      </w:tr>
      <w:tr w:rsidR="00611755" w:rsidRPr="00243AF9" w:rsidTr="7463BFD2">
        <w:tc>
          <w:tcPr>
            <w:tcW w:w="2340" w:type="dxa"/>
            <w:shd w:val="clear" w:color="auto" w:fill="B8CCE4" w:themeFill="accent1" w:themeFillTint="66"/>
          </w:tcPr>
          <w:p w:rsidR="00611755" w:rsidRPr="002041FC" w:rsidRDefault="00D87FB9" w:rsidP="002041FC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Animateur</w:t>
            </w:r>
          </w:p>
        </w:tc>
        <w:tc>
          <w:tcPr>
            <w:tcW w:w="8490" w:type="dxa"/>
            <w:shd w:val="clear" w:color="auto" w:fill="B8CCE4" w:themeFill="accent1" w:themeFillTint="66"/>
          </w:tcPr>
          <w:p w:rsidR="002041FC" w:rsidRDefault="005D6E5A" w:rsidP="002041FC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TMVL</w:t>
            </w:r>
            <w:r w:rsidR="00BD78C3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/UD37</w:t>
            </w: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et autres acteurs compétents sur les sujets concernés</w:t>
            </w:r>
          </w:p>
          <w:p w:rsidR="00F76EBE" w:rsidRPr="00F76EBE" w:rsidRDefault="00F76EBE" w:rsidP="005D6E5A">
            <w:pPr>
              <w:widowControl/>
              <w:suppressAutoHyphens w:val="0"/>
              <w:spacing w:before="120"/>
              <w:ind w:left="7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</w:p>
        </w:tc>
      </w:tr>
      <w:tr w:rsidR="00611755" w:rsidRPr="00243AF9" w:rsidTr="7463BFD2">
        <w:trPr>
          <w:trHeight w:val="95"/>
        </w:trPr>
        <w:tc>
          <w:tcPr>
            <w:tcW w:w="2340" w:type="dxa"/>
            <w:shd w:val="clear" w:color="auto" w:fill="B8CCE4" w:themeFill="accent1" w:themeFillTint="66"/>
          </w:tcPr>
          <w:p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Partenaires </w:t>
            </w: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mobilisable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s (dont habitants)</w:t>
            </w:r>
          </w:p>
          <w:p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Dispositifs mobilisables</w:t>
            </w:r>
          </w:p>
          <w:p w:rsidR="00611755" w:rsidRP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490" w:type="dxa"/>
            <w:shd w:val="clear" w:color="auto" w:fill="B8CCE4" w:themeFill="accent1" w:themeFillTint="66"/>
          </w:tcPr>
          <w:p w:rsidR="005D6E5A" w:rsidRDefault="005D6E5A" w:rsidP="00F76EBE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Conseil régional Val de Loire</w:t>
            </w:r>
          </w:p>
          <w:p w:rsidR="002C5295" w:rsidRDefault="002C5295" w:rsidP="00F76EBE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Chambres consulaires</w:t>
            </w:r>
          </w:p>
          <w:p w:rsidR="002C5295" w:rsidRDefault="002C5295" w:rsidP="00F76EBE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Opérateurs de la création d’entreprise </w:t>
            </w:r>
          </w:p>
          <w:p w:rsidR="002C5295" w:rsidRDefault="002C5295" w:rsidP="00F76EBE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Créateurs et entreprises </w:t>
            </w:r>
          </w:p>
          <w:p w:rsidR="002C5295" w:rsidRDefault="002C5295" w:rsidP="002C5295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EPARECA</w:t>
            </w:r>
          </w:p>
          <w:p w:rsidR="002C5295" w:rsidRPr="002C5295" w:rsidRDefault="002C5295" w:rsidP="002C5295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C</w:t>
            </w:r>
            <w:r w:rsidRPr="002C5295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onvention CDC en faveur de l’activité économique dans les quartiers</w:t>
            </w:r>
          </w:p>
          <w:p w:rsidR="002C5295" w:rsidRDefault="002C5295" w:rsidP="002C5295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 w:rsidRPr="002C5295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Engagements du Ministère de l’artisanat, commerce et tourisme dans le cadre de sa Convention avec le Ministère de la ville, pour renforcer les implantations commerciales dans l</w:t>
            </w: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es quartiers</w:t>
            </w:r>
          </w:p>
          <w:p w:rsidR="002C5295" w:rsidRDefault="002C5295" w:rsidP="002C5295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CDC</w:t>
            </w:r>
          </w:p>
          <w:p w:rsidR="002041FC" w:rsidRDefault="002C5295" w:rsidP="002041FC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ANRU</w:t>
            </w:r>
            <w:r w:rsidR="002041F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</w:t>
            </w:r>
          </w:p>
          <w:p w:rsidR="002C5295" w:rsidRPr="002041FC" w:rsidRDefault="002041FC" w:rsidP="002041FC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ATU</w:t>
            </w:r>
          </w:p>
        </w:tc>
      </w:tr>
      <w:tr w:rsidR="00611755" w:rsidRPr="00243AF9" w:rsidTr="7463BFD2">
        <w:tc>
          <w:tcPr>
            <w:tcW w:w="2340" w:type="dxa"/>
            <w:shd w:val="clear" w:color="auto" w:fill="B8CCE4" w:themeFill="accent1" w:themeFillTint="66"/>
          </w:tcPr>
          <w:p w:rsidR="00611755" w:rsidRPr="00243AF9" w:rsidRDefault="00611755" w:rsidP="002041FC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Financements mobilisables</w:t>
            </w:r>
          </w:p>
        </w:tc>
        <w:tc>
          <w:tcPr>
            <w:tcW w:w="8490" w:type="dxa"/>
            <w:shd w:val="clear" w:color="auto" w:fill="B8CCE4" w:themeFill="accent1" w:themeFillTint="66"/>
          </w:tcPr>
          <w:p w:rsidR="00FC2250" w:rsidRDefault="002041FC" w:rsidP="00611755">
            <w:pPr>
              <w:pStyle w:val="TableContents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ANRU, EPARECA, FISAC, CDC, …</w:t>
            </w:r>
          </w:p>
          <w:p w:rsidR="002041FC" w:rsidRPr="00243AF9" w:rsidRDefault="002041FC" w:rsidP="00BD78C3">
            <w:pPr>
              <w:pStyle w:val="TableContents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Droit commun</w:t>
            </w:r>
            <w:r w:rsidR="00BD78C3">
              <w:rPr>
                <w:rFonts w:ascii="Verdana" w:hAnsi="Verdana" w:cs="Arial"/>
                <w:color w:val="1F497D"/>
                <w:sz w:val="20"/>
                <w:szCs w:val="20"/>
              </w:rPr>
              <w:t xml:space="preserve"> et crédits spécifiques</w:t>
            </w:r>
          </w:p>
        </w:tc>
      </w:tr>
      <w:tr w:rsidR="00611755" w:rsidRPr="00243AF9" w:rsidTr="7463BFD2">
        <w:trPr>
          <w:trHeight w:val="272"/>
        </w:trPr>
        <w:tc>
          <w:tcPr>
            <w:tcW w:w="2340" w:type="dxa"/>
            <w:shd w:val="clear" w:color="auto" w:fill="B8CCE4" w:themeFill="accent1" w:themeFillTint="66"/>
          </w:tcPr>
          <w:p w:rsidR="00611755" w:rsidRPr="00611755" w:rsidRDefault="00611755" w:rsidP="002041FC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Calendrier</w:t>
            </w:r>
          </w:p>
        </w:tc>
        <w:tc>
          <w:tcPr>
            <w:tcW w:w="8490" w:type="dxa"/>
            <w:shd w:val="clear" w:color="auto" w:fill="B8CCE4" w:themeFill="accent1" w:themeFillTint="66"/>
          </w:tcPr>
          <w:p w:rsidR="00611755" w:rsidRPr="002C5295" w:rsidRDefault="002041FC" w:rsidP="002C5295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2015-2020</w:t>
            </w:r>
          </w:p>
        </w:tc>
      </w:tr>
      <w:tr w:rsidR="005F0153" w:rsidRPr="00243AF9" w:rsidTr="7463BFD2">
        <w:tc>
          <w:tcPr>
            <w:tcW w:w="2340" w:type="dxa"/>
            <w:shd w:val="clear" w:color="auto" w:fill="B8CCE4" w:themeFill="accent1" w:themeFillTint="66"/>
          </w:tcPr>
          <w:p w:rsidR="005F0153" w:rsidRDefault="002C5295" w:rsidP="005F0153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</w:t>
            </w:r>
            <w:r w:rsidR="005F0153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ndicateurs de réalisation</w:t>
            </w:r>
          </w:p>
          <w:p w:rsidR="005F0153" w:rsidRDefault="005F0153" w:rsidP="00D87F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490" w:type="dxa"/>
            <w:shd w:val="clear" w:color="auto" w:fill="B8CCE4" w:themeFill="accent1" w:themeFillTint="66"/>
          </w:tcPr>
          <w:p w:rsidR="002C5295" w:rsidRDefault="007E5130" w:rsidP="002C5295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Réalisation des études prévues </w:t>
            </w:r>
            <w:r w:rsidR="00B61E01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(EPARECA,</w:t>
            </w:r>
            <w:r w:rsidR="002041F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…</w:t>
            </w:r>
            <w:r w:rsidR="00B61E01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)</w:t>
            </w:r>
          </w:p>
          <w:p w:rsidR="00B61E01" w:rsidRDefault="00B61E01" w:rsidP="002C5295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Fonctionnement des groupes de travail et amélioration de la synergie avec les partenaires du développement économique</w:t>
            </w:r>
          </w:p>
          <w:p w:rsidR="00B61E01" w:rsidRDefault="00B61E01" w:rsidP="002C5295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Mise en œuvre effective des partenariats autour de la création d’entreprises</w:t>
            </w:r>
          </w:p>
          <w:p w:rsidR="005F0153" w:rsidRPr="00B61E01" w:rsidRDefault="005F0153" w:rsidP="002041FC">
            <w:pPr>
              <w:widowControl/>
              <w:suppressAutoHyphens w:val="0"/>
              <w:spacing w:before="120"/>
              <w:ind w:left="36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</w:p>
        </w:tc>
      </w:tr>
      <w:tr w:rsidR="00D87FB9" w:rsidRPr="00243AF9" w:rsidTr="7463BFD2">
        <w:tc>
          <w:tcPr>
            <w:tcW w:w="2340" w:type="dxa"/>
            <w:shd w:val="clear" w:color="auto" w:fill="B8CCE4" w:themeFill="accent1" w:themeFillTint="66"/>
          </w:tcPr>
          <w:p w:rsidR="00D87FB9" w:rsidRDefault="00D87FB9" w:rsidP="00D87F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d’effets</w:t>
            </w:r>
          </w:p>
          <w:p w:rsidR="00D87FB9" w:rsidRDefault="00D87FB9" w:rsidP="00D87F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490" w:type="dxa"/>
            <w:shd w:val="clear" w:color="auto" w:fill="B8CCE4" w:themeFill="accent1" w:themeFillTint="66"/>
          </w:tcPr>
          <w:p w:rsidR="002C5295" w:rsidRDefault="002C5295" w:rsidP="002C5295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Nombre de nouveaux créateurs d’entreprises</w:t>
            </w:r>
            <w:r w:rsidR="00BD78C3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/activités</w:t>
            </w: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</w:t>
            </w:r>
          </w:p>
          <w:p w:rsidR="002C5295" w:rsidRDefault="002C5295" w:rsidP="002C5295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Nombre d’implantation d’activité dans les quartiers prioritaires</w:t>
            </w:r>
          </w:p>
          <w:p w:rsidR="002C5295" w:rsidRDefault="002C5295" w:rsidP="002C5295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Taux d’entreprises dans les quartiers</w:t>
            </w:r>
          </w:p>
          <w:p w:rsidR="00BD78C3" w:rsidRDefault="00BD78C3" w:rsidP="002C5295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Taux d’entrepreneurs issus des quartiers</w:t>
            </w:r>
          </w:p>
          <w:p w:rsidR="00D87FB9" w:rsidRPr="007E5130" w:rsidRDefault="002C5295" w:rsidP="002041FC">
            <w:pPr>
              <w:widowControl/>
              <w:numPr>
                <w:ilvl w:val="0"/>
                <w:numId w:val="7"/>
              </w:numPr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Indicateurs de bonne santé des commerces (maintien ou fermeture des commerces existants, chiffres d’affaire des commerçants, fréquentation des </w:t>
            </w:r>
            <w:r w:rsidR="002041F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pôles </w:t>
            </w: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commerciaux</w:t>
            </w:r>
            <w:r w:rsidR="002041F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de proximité</w:t>
            </w: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, taux de satisfaction des habitants mesurés par les enquêtes d’opinion</w:t>
            </w:r>
            <w:r w:rsidR="002041F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…)</w:t>
            </w:r>
          </w:p>
        </w:tc>
      </w:tr>
      <w:tr w:rsidR="00611755" w:rsidRPr="00243AF9" w:rsidTr="7463BFD2">
        <w:tc>
          <w:tcPr>
            <w:tcW w:w="2340" w:type="dxa"/>
            <w:shd w:val="clear" w:color="auto" w:fill="B8CCE4" w:themeFill="accent1" w:themeFillTint="66"/>
          </w:tcPr>
          <w:p w:rsidR="00611755" w:rsidRPr="00243AF9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Liens autres enjeux / fiches « orientations opérationnelles »</w:t>
            </w:r>
          </w:p>
        </w:tc>
        <w:tc>
          <w:tcPr>
            <w:tcW w:w="8490" w:type="dxa"/>
            <w:shd w:val="clear" w:color="auto" w:fill="B8CCE4" w:themeFill="accent1" w:themeFillTint="66"/>
          </w:tcPr>
          <w:p w:rsidR="00F22558" w:rsidRPr="002041FC" w:rsidRDefault="7463BFD2" w:rsidP="002041FC">
            <w:pPr>
              <w:widowControl/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 w:rsidRPr="002041F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Lien avec l’ensemble des fiches du pilier 3 et des</w:t>
            </w:r>
            <w:r w:rsidR="00992289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axes transversaux et</w:t>
            </w:r>
          </w:p>
          <w:p w:rsidR="00992289" w:rsidRDefault="00992289" w:rsidP="002041FC">
            <w:pPr>
              <w:widowControl/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</w:p>
          <w:p w:rsidR="00611755" w:rsidRPr="00F22558" w:rsidRDefault="7463BFD2" w:rsidP="005D6E5A">
            <w:pPr>
              <w:widowControl/>
              <w:suppressAutoHyphens w:val="0"/>
              <w:spacing w:before="120"/>
              <w:contextualSpacing/>
              <w:jc w:val="both"/>
              <w:textAlignment w:val="auto"/>
              <w:rPr>
                <w:rFonts w:ascii="Verdana" w:hAnsi="Verdana" w:cs="Arial"/>
                <w:bCs/>
                <w:color w:val="1F497D"/>
                <w:sz w:val="18"/>
                <w:szCs w:val="18"/>
              </w:rPr>
            </w:pPr>
            <w:r w:rsidRPr="002041F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Pilier 2 – Axe 2.1.</w:t>
            </w:r>
            <w:r w:rsidR="005D6E5A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-</w:t>
            </w:r>
            <w:r w:rsidRPr="002041F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Développer la mixité fonctionnelle</w:t>
            </w:r>
          </w:p>
        </w:tc>
      </w:tr>
    </w:tbl>
    <w:p w:rsidR="00611755" w:rsidRDefault="00611755" w:rsidP="008D57C0">
      <w:pPr>
        <w:pStyle w:val="WW-Standard"/>
        <w:tabs>
          <w:tab w:val="left" w:pos="5920"/>
        </w:tabs>
        <w:spacing w:after="57"/>
        <w:rPr>
          <w:rFonts w:ascii="Verdana" w:hAnsi="Verdana" w:cs="Verdana"/>
          <w:b/>
          <w:bCs/>
          <w:sz w:val="28"/>
          <w:szCs w:val="28"/>
        </w:rPr>
      </w:pPr>
    </w:p>
    <w:p w:rsidR="008D0202" w:rsidRDefault="008D0202">
      <w:pPr>
        <w:widowControl/>
        <w:suppressAutoHyphens w:val="0"/>
        <w:textAlignment w:val="auto"/>
        <w:rPr>
          <w:rFonts w:ascii="Verdana" w:hAnsi="Verdana" w:cs="Verdana"/>
          <w:b/>
          <w:bCs/>
          <w:color w:val="FFFFFF"/>
          <w:sz w:val="28"/>
          <w:szCs w:val="28"/>
        </w:rPr>
      </w:pPr>
    </w:p>
    <w:sectPr w:rsidR="008D0202" w:rsidSect="00A433C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454" w:right="567" w:bottom="737" w:left="567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2C8" w:rsidRDefault="005A42C8" w:rsidP="00A03715">
      <w:pPr>
        <w:pStyle w:val="TableContents"/>
      </w:pPr>
      <w:r>
        <w:separator/>
      </w:r>
    </w:p>
  </w:endnote>
  <w:endnote w:type="continuationSeparator" w:id="0">
    <w:p w:rsidR="005A42C8" w:rsidRDefault="005A42C8" w:rsidP="00A03715">
      <w:pPr>
        <w:pStyle w:val="TableContents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6C7" w:rsidRDefault="00CB16C7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F55" w:rsidRDefault="00652F55" w:rsidP="00973B15">
    <w:pPr>
      <w:pStyle w:val="Pieddepage"/>
      <w:widowControl/>
      <w:jc w:val="right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>Contrat de ville</w:t>
    </w:r>
    <w:r w:rsidR="002C1E51">
      <w:rPr>
        <w:rFonts w:ascii="Verdana" w:hAnsi="Verdana" w:cs="Verdana"/>
        <w:sz w:val="16"/>
        <w:szCs w:val="16"/>
      </w:rPr>
      <w:t xml:space="preserve"> - </w:t>
    </w:r>
    <w:r>
      <w:rPr>
        <w:rFonts w:ascii="Verdana" w:hAnsi="Verdana" w:cs="Verdana"/>
        <w:sz w:val="16"/>
        <w:szCs w:val="16"/>
      </w:rPr>
      <w:t xml:space="preserve">Fiche </w:t>
    </w:r>
    <w:r w:rsidR="00D87FB9">
      <w:rPr>
        <w:rFonts w:ascii="Verdana" w:hAnsi="Verdana" w:cs="Verdana"/>
        <w:sz w:val="16"/>
        <w:szCs w:val="16"/>
      </w:rPr>
      <w:t>orientation opérationnelle</w:t>
    </w:r>
  </w:p>
  <w:p w:rsidR="002C1E51" w:rsidRDefault="00CB16C7" w:rsidP="00973B15">
    <w:pPr>
      <w:pStyle w:val="Pieddepage"/>
      <w:widowControl/>
      <w:jc w:val="right"/>
    </w:pPr>
    <w:r>
      <w:rPr>
        <w:rFonts w:ascii="Verdana" w:hAnsi="Verdana" w:cs="Verdana"/>
        <w:sz w:val="16"/>
        <w:szCs w:val="16"/>
      </w:rPr>
      <w:t>Date de mise à jour </w:t>
    </w:r>
    <w:r w:rsidR="002C1E51">
      <w:rPr>
        <w:rFonts w:ascii="Verdana" w:hAnsi="Verdana" w:cs="Verdana"/>
        <w:sz w:val="16"/>
        <w:szCs w:val="16"/>
      </w:rPr>
      <w:t>: 15 novembre 2017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6C7" w:rsidRDefault="00CB16C7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2C8" w:rsidRDefault="005A42C8" w:rsidP="00A03715">
      <w:pPr>
        <w:pStyle w:val="TableContents"/>
      </w:pPr>
      <w:r>
        <w:separator/>
      </w:r>
    </w:p>
  </w:footnote>
  <w:footnote w:type="continuationSeparator" w:id="0">
    <w:p w:rsidR="005A42C8" w:rsidRDefault="005A42C8" w:rsidP="00A03715">
      <w:pPr>
        <w:pStyle w:val="TableContents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6C7" w:rsidRDefault="00CB16C7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6C7" w:rsidRDefault="00CB16C7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6C7" w:rsidRDefault="00CB16C7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654AF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4">
    <w:nsid w:val="20D6581C"/>
    <w:multiLevelType w:val="hybridMultilevel"/>
    <w:tmpl w:val="72325CA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57A1F35"/>
    <w:multiLevelType w:val="hybridMultilevel"/>
    <w:tmpl w:val="F0A68F52"/>
    <w:lvl w:ilvl="0" w:tplc="0BF622A2">
      <w:numFmt w:val="bullet"/>
      <w:lvlText w:val="-"/>
      <w:lvlJc w:val="left"/>
      <w:pPr>
        <w:ind w:left="720" w:hanging="360"/>
      </w:pPr>
      <w:rPr>
        <w:rFonts w:ascii="Arial" w:eastAsia="SimSu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687B0D"/>
    <w:multiLevelType w:val="hybridMultilevel"/>
    <w:tmpl w:val="30D82D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770143"/>
    <w:multiLevelType w:val="hybridMultilevel"/>
    <w:tmpl w:val="0A9EBCD4"/>
    <w:lvl w:ilvl="0" w:tplc="AAD2AD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E282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5A16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F0E0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F4AC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6650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EC38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38E6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34BB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proofState w:spelling="clean" w:grammar="clean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66A5"/>
    <w:rsid w:val="00005015"/>
    <w:rsid w:val="00015782"/>
    <w:rsid w:val="00031B19"/>
    <w:rsid w:val="000431FC"/>
    <w:rsid w:val="000837B5"/>
    <w:rsid w:val="000966A5"/>
    <w:rsid w:val="000A3436"/>
    <w:rsid w:val="000A570C"/>
    <w:rsid w:val="000F355B"/>
    <w:rsid w:val="0010576C"/>
    <w:rsid w:val="001327C8"/>
    <w:rsid w:val="00141401"/>
    <w:rsid w:val="00152BE1"/>
    <w:rsid w:val="00157E13"/>
    <w:rsid w:val="0016489B"/>
    <w:rsid w:val="00172682"/>
    <w:rsid w:val="001B5930"/>
    <w:rsid w:val="001C466A"/>
    <w:rsid w:val="002041FC"/>
    <w:rsid w:val="00221F00"/>
    <w:rsid w:val="00243AF9"/>
    <w:rsid w:val="00251461"/>
    <w:rsid w:val="002650B0"/>
    <w:rsid w:val="00296F2A"/>
    <w:rsid w:val="002A5B58"/>
    <w:rsid w:val="002C1E51"/>
    <w:rsid w:val="002C5295"/>
    <w:rsid w:val="002D3E9D"/>
    <w:rsid w:val="00332D5A"/>
    <w:rsid w:val="00337CB4"/>
    <w:rsid w:val="003420AD"/>
    <w:rsid w:val="00345404"/>
    <w:rsid w:val="003744CB"/>
    <w:rsid w:val="003966A6"/>
    <w:rsid w:val="003B381A"/>
    <w:rsid w:val="003F074B"/>
    <w:rsid w:val="00403AC9"/>
    <w:rsid w:val="00405EFC"/>
    <w:rsid w:val="004240AF"/>
    <w:rsid w:val="004361CC"/>
    <w:rsid w:val="00440B37"/>
    <w:rsid w:val="00450F2B"/>
    <w:rsid w:val="0045548E"/>
    <w:rsid w:val="00481787"/>
    <w:rsid w:val="00491B35"/>
    <w:rsid w:val="004D2790"/>
    <w:rsid w:val="004E4331"/>
    <w:rsid w:val="00502539"/>
    <w:rsid w:val="00543505"/>
    <w:rsid w:val="00564CE8"/>
    <w:rsid w:val="005A42C8"/>
    <w:rsid w:val="005A7B50"/>
    <w:rsid w:val="005D6E5A"/>
    <w:rsid w:val="005F0153"/>
    <w:rsid w:val="00611755"/>
    <w:rsid w:val="00626CBC"/>
    <w:rsid w:val="00633A2F"/>
    <w:rsid w:val="00652F55"/>
    <w:rsid w:val="006A0A01"/>
    <w:rsid w:val="006A3BC2"/>
    <w:rsid w:val="006F3473"/>
    <w:rsid w:val="007358F5"/>
    <w:rsid w:val="00741C82"/>
    <w:rsid w:val="0074359D"/>
    <w:rsid w:val="0077389A"/>
    <w:rsid w:val="0079748E"/>
    <w:rsid w:val="007A7B97"/>
    <w:rsid w:val="007B7D1F"/>
    <w:rsid w:val="007D0CE7"/>
    <w:rsid w:val="007D246C"/>
    <w:rsid w:val="007D7354"/>
    <w:rsid w:val="007E5130"/>
    <w:rsid w:val="007F401A"/>
    <w:rsid w:val="00806B91"/>
    <w:rsid w:val="0082148C"/>
    <w:rsid w:val="00821CE0"/>
    <w:rsid w:val="00825C0B"/>
    <w:rsid w:val="00827890"/>
    <w:rsid w:val="0083500C"/>
    <w:rsid w:val="00841AF9"/>
    <w:rsid w:val="00843724"/>
    <w:rsid w:val="00853E40"/>
    <w:rsid w:val="00860E13"/>
    <w:rsid w:val="0088450D"/>
    <w:rsid w:val="00890293"/>
    <w:rsid w:val="008A59ED"/>
    <w:rsid w:val="008D0202"/>
    <w:rsid w:val="008D57C0"/>
    <w:rsid w:val="008F21B8"/>
    <w:rsid w:val="008F41F9"/>
    <w:rsid w:val="00926A6A"/>
    <w:rsid w:val="00934D6C"/>
    <w:rsid w:val="009520CB"/>
    <w:rsid w:val="00963B0F"/>
    <w:rsid w:val="00973B15"/>
    <w:rsid w:val="0097477D"/>
    <w:rsid w:val="009910D0"/>
    <w:rsid w:val="00992289"/>
    <w:rsid w:val="009A172A"/>
    <w:rsid w:val="009B658E"/>
    <w:rsid w:val="009C075F"/>
    <w:rsid w:val="00A03715"/>
    <w:rsid w:val="00A230D1"/>
    <w:rsid w:val="00A34D8D"/>
    <w:rsid w:val="00A433C2"/>
    <w:rsid w:val="00A60403"/>
    <w:rsid w:val="00AA02BF"/>
    <w:rsid w:val="00AA3D06"/>
    <w:rsid w:val="00AD0191"/>
    <w:rsid w:val="00AF6772"/>
    <w:rsid w:val="00B537E0"/>
    <w:rsid w:val="00B61E01"/>
    <w:rsid w:val="00B82553"/>
    <w:rsid w:val="00B87257"/>
    <w:rsid w:val="00B92287"/>
    <w:rsid w:val="00B93DEA"/>
    <w:rsid w:val="00BD78C3"/>
    <w:rsid w:val="00BE4175"/>
    <w:rsid w:val="00BE52CF"/>
    <w:rsid w:val="00BE6C1A"/>
    <w:rsid w:val="00BE6FC2"/>
    <w:rsid w:val="00C13A4E"/>
    <w:rsid w:val="00C52CBA"/>
    <w:rsid w:val="00CA698C"/>
    <w:rsid w:val="00CB16C7"/>
    <w:rsid w:val="00CC0218"/>
    <w:rsid w:val="00D24D74"/>
    <w:rsid w:val="00D774B4"/>
    <w:rsid w:val="00D80E84"/>
    <w:rsid w:val="00D86EE0"/>
    <w:rsid w:val="00D87FB9"/>
    <w:rsid w:val="00DA4D15"/>
    <w:rsid w:val="00DA6B8B"/>
    <w:rsid w:val="00DC0102"/>
    <w:rsid w:val="00ED0F1C"/>
    <w:rsid w:val="00ED7F39"/>
    <w:rsid w:val="00EE7747"/>
    <w:rsid w:val="00F04DC2"/>
    <w:rsid w:val="00F22558"/>
    <w:rsid w:val="00F275A3"/>
    <w:rsid w:val="00F4309C"/>
    <w:rsid w:val="00F716D6"/>
    <w:rsid w:val="00F76EBE"/>
    <w:rsid w:val="00FC05F5"/>
    <w:rsid w:val="00FC2250"/>
    <w:rsid w:val="7463BFD2"/>
    <w:rsid w:val="75C61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361CC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styleId="Titre1">
    <w:name w:val="heading 1"/>
    <w:basedOn w:val="Heading"/>
    <w:next w:val="Textbody"/>
    <w:qFormat/>
    <w:rsid w:val="004361CC"/>
    <w:pPr>
      <w:numPr>
        <w:numId w:val="1"/>
      </w:numPr>
      <w:outlineLvl w:val="0"/>
    </w:pPr>
    <w:rPr>
      <w:b/>
      <w:bCs/>
    </w:rPr>
  </w:style>
  <w:style w:type="paragraph" w:styleId="Titre2">
    <w:name w:val="heading 2"/>
    <w:basedOn w:val="Heading"/>
    <w:next w:val="Textbody"/>
    <w:qFormat/>
    <w:rsid w:val="004361CC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Titre3">
    <w:name w:val="heading 3"/>
    <w:basedOn w:val="Heading"/>
    <w:next w:val="Textbody"/>
    <w:qFormat/>
    <w:rsid w:val="004361CC"/>
    <w:pPr>
      <w:numPr>
        <w:ilvl w:val="2"/>
        <w:numId w:val="1"/>
      </w:numPr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4361CC"/>
    <w:rPr>
      <w:rFonts w:ascii="Symbol" w:eastAsia="Times New Roman" w:hAnsi="Symbol" w:cs="Verdana"/>
    </w:rPr>
  </w:style>
  <w:style w:type="character" w:customStyle="1" w:styleId="WW8Num1z1">
    <w:name w:val="WW8Num1z1"/>
    <w:rsid w:val="004361CC"/>
    <w:rPr>
      <w:rFonts w:ascii="OpenSymbol" w:hAnsi="OpenSymbol" w:cs="Courier New"/>
    </w:rPr>
  </w:style>
  <w:style w:type="character" w:customStyle="1" w:styleId="WW8Num2z0">
    <w:name w:val="WW8Num2z0"/>
    <w:rsid w:val="004361CC"/>
    <w:rPr>
      <w:rFonts w:ascii="Verdana" w:eastAsia="SimSun" w:hAnsi="Verdana" w:cs="Mangal"/>
    </w:rPr>
  </w:style>
  <w:style w:type="character" w:customStyle="1" w:styleId="WW8Num2z1">
    <w:name w:val="WW8Num2z1"/>
    <w:rsid w:val="004361CC"/>
    <w:rPr>
      <w:rFonts w:ascii="Courier New" w:hAnsi="Courier New" w:cs="Courier New"/>
    </w:rPr>
  </w:style>
  <w:style w:type="character" w:customStyle="1" w:styleId="WW8Num2z2">
    <w:name w:val="WW8Num2z2"/>
    <w:rsid w:val="004361CC"/>
    <w:rPr>
      <w:rFonts w:ascii="Wingdings" w:hAnsi="Wingdings" w:cs="Wingdings"/>
    </w:rPr>
  </w:style>
  <w:style w:type="character" w:customStyle="1" w:styleId="WW8Num2z3">
    <w:name w:val="WW8Num2z3"/>
    <w:rsid w:val="004361CC"/>
    <w:rPr>
      <w:rFonts w:ascii="Symbol" w:hAnsi="Symbol" w:cs="Symbol"/>
    </w:rPr>
  </w:style>
  <w:style w:type="character" w:customStyle="1" w:styleId="WW8Num4z0">
    <w:name w:val="WW8Num4z0"/>
    <w:rsid w:val="004361CC"/>
    <w:rPr>
      <w:rFonts w:ascii="Verdana" w:eastAsia="Times New Roman" w:hAnsi="Verdana" w:cs="Verdana"/>
    </w:rPr>
  </w:style>
  <w:style w:type="character" w:customStyle="1" w:styleId="WW8Num4z1">
    <w:name w:val="WW8Num4z1"/>
    <w:rsid w:val="004361CC"/>
    <w:rPr>
      <w:rFonts w:ascii="Courier New" w:hAnsi="Courier New" w:cs="Courier New"/>
    </w:rPr>
  </w:style>
  <w:style w:type="character" w:customStyle="1" w:styleId="WW8Num4z2">
    <w:name w:val="WW8Num4z2"/>
    <w:rsid w:val="004361CC"/>
    <w:rPr>
      <w:rFonts w:ascii="Wingdings" w:hAnsi="Wingdings" w:cs="Wingdings"/>
    </w:rPr>
  </w:style>
  <w:style w:type="character" w:customStyle="1" w:styleId="WW8Num4z3">
    <w:name w:val="WW8Num4z3"/>
    <w:rsid w:val="004361CC"/>
    <w:rPr>
      <w:rFonts w:ascii="Symbol" w:hAnsi="Symbol" w:cs="Symbol"/>
    </w:rPr>
  </w:style>
  <w:style w:type="character" w:customStyle="1" w:styleId="WW8Num5z0">
    <w:name w:val="WW8Num5z0"/>
    <w:rsid w:val="004361CC"/>
    <w:rPr>
      <w:rFonts w:ascii="Symbol" w:hAnsi="Symbol" w:cs="OpenSymbol"/>
    </w:rPr>
  </w:style>
  <w:style w:type="character" w:customStyle="1" w:styleId="WW8Num5z1">
    <w:name w:val="WW8Num5z1"/>
    <w:rsid w:val="004361CC"/>
    <w:rPr>
      <w:rFonts w:ascii="OpenSymbol" w:hAnsi="OpenSymbol" w:cs="OpenSymbol"/>
    </w:rPr>
  </w:style>
  <w:style w:type="character" w:customStyle="1" w:styleId="WW8Num5z2">
    <w:name w:val="WW8Num5z2"/>
    <w:rsid w:val="004361CC"/>
    <w:rPr>
      <w:rFonts w:ascii="Wingdings" w:hAnsi="Wingdings" w:cs="Wingdings"/>
    </w:rPr>
  </w:style>
  <w:style w:type="character" w:customStyle="1" w:styleId="WW8Num5z3">
    <w:name w:val="WW8Num5z3"/>
    <w:rsid w:val="004361CC"/>
    <w:rPr>
      <w:rFonts w:ascii="Symbol" w:hAnsi="Symbol" w:cs="Symbol"/>
    </w:rPr>
  </w:style>
  <w:style w:type="character" w:customStyle="1" w:styleId="WW8Num6z0">
    <w:name w:val="WW8Num6z0"/>
    <w:rsid w:val="004361CC"/>
    <w:rPr>
      <w:rFonts w:ascii="Symbol" w:hAnsi="Symbol" w:cs="OpenSymbol"/>
    </w:rPr>
  </w:style>
  <w:style w:type="character" w:customStyle="1" w:styleId="WW8Num6z1">
    <w:name w:val="WW8Num6z1"/>
    <w:rsid w:val="004361CC"/>
    <w:rPr>
      <w:rFonts w:ascii="OpenSymbol" w:hAnsi="OpenSymbol" w:cs="OpenSymbol"/>
    </w:rPr>
  </w:style>
  <w:style w:type="character" w:customStyle="1" w:styleId="Policepardfaut1">
    <w:name w:val="Police par défaut1"/>
    <w:rsid w:val="004361CC"/>
  </w:style>
  <w:style w:type="character" w:customStyle="1" w:styleId="NumberingSymbols">
    <w:name w:val="Numbering Symbols"/>
    <w:rsid w:val="004361CC"/>
    <w:rPr>
      <w:b/>
      <w:bCs/>
    </w:rPr>
  </w:style>
  <w:style w:type="character" w:customStyle="1" w:styleId="BulletSymbols">
    <w:name w:val="Bullet Symbols"/>
    <w:rsid w:val="004361CC"/>
    <w:rPr>
      <w:rFonts w:ascii="OpenSymbol" w:eastAsia="OpenSymbol" w:hAnsi="OpenSymbol" w:cs="OpenSymbol"/>
    </w:rPr>
  </w:style>
  <w:style w:type="character" w:customStyle="1" w:styleId="En-tteCar">
    <w:name w:val="En-tête Car"/>
    <w:rsid w:val="004361CC"/>
    <w:rPr>
      <w:szCs w:val="21"/>
    </w:rPr>
  </w:style>
  <w:style w:type="character" w:styleId="Numrodepage">
    <w:name w:val="page number"/>
    <w:basedOn w:val="Policepardfaut1"/>
    <w:rsid w:val="004361CC"/>
  </w:style>
  <w:style w:type="character" w:customStyle="1" w:styleId="Puces">
    <w:name w:val="Puces"/>
    <w:rsid w:val="004361CC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rsid w:val="004361C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rsid w:val="004361CC"/>
    <w:pPr>
      <w:spacing w:after="120"/>
    </w:pPr>
  </w:style>
  <w:style w:type="paragraph" w:styleId="Liste">
    <w:name w:val="List"/>
    <w:basedOn w:val="Textbody"/>
    <w:rsid w:val="004361CC"/>
  </w:style>
  <w:style w:type="paragraph" w:styleId="Lgende">
    <w:name w:val="caption"/>
    <w:basedOn w:val="WW-Standard"/>
    <w:qFormat/>
    <w:rsid w:val="004361C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WW-Standard"/>
    <w:rsid w:val="004361CC"/>
    <w:pPr>
      <w:suppressLineNumbers/>
    </w:pPr>
  </w:style>
  <w:style w:type="paragraph" w:customStyle="1" w:styleId="WW-Standard">
    <w:name w:val="WW-Standard"/>
    <w:rsid w:val="004361CC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Heading">
    <w:name w:val="Heading"/>
    <w:basedOn w:val="WW-Standard"/>
    <w:next w:val="Textbody"/>
    <w:rsid w:val="004361CC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rsid w:val="004361CC"/>
    <w:pPr>
      <w:spacing w:after="120"/>
    </w:pPr>
  </w:style>
  <w:style w:type="paragraph" w:styleId="Pieddepage">
    <w:name w:val="footer"/>
    <w:basedOn w:val="WW-Standard"/>
    <w:rsid w:val="004361CC"/>
    <w:pPr>
      <w:suppressLineNumbers/>
    </w:pPr>
  </w:style>
  <w:style w:type="paragraph" w:customStyle="1" w:styleId="TableContents">
    <w:name w:val="Table Contents"/>
    <w:basedOn w:val="WW-Standard"/>
    <w:rsid w:val="004361CC"/>
    <w:pPr>
      <w:suppressLineNumbers/>
    </w:pPr>
  </w:style>
  <w:style w:type="paragraph" w:styleId="En-tte">
    <w:name w:val="header"/>
    <w:basedOn w:val="Normal"/>
    <w:rsid w:val="004361CC"/>
    <w:rPr>
      <w:szCs w:val="21"/>
    </w:rPr>
  </w:style>
  <w:style w:type="paragraph" w:customStyle="1" w:styleId="Contenudetableau">
    <w:name w:val="Contenu de tableau"/>
    <w:basedOn w:val="Normal"/>
    <w:rsid w:val="004361CC"/>
    <w:pPr>
      <w:suppressLineNumbers/>
    </w:pPr>
  </w:style>
  <w:style w:type="paragraph" w:customStyle="1" w:styleId="Titredetableau">
    <w:name w:val="Titre de tableau"/>
    <w:basedOn w:val="Contenudetableau"/>
    <w:rsid w:val="004361CC"/>
    <w:pPr>
      <w:jc w:val="center"/>
    </w:pPr>
    <w:rPr>
      <w:b/>
      <w:bCs/>
    </w:rPr>
  </w:style>
  <w:style w:type="table" w:styleId="Grilledutableau">
    <w:name w:val="Table Grid"/>
    <w:basedOn w:val="TableauNormal"/>
    <w:rsid w:val="00450F2B"/>
    <w:pPr>
      <w:widowControl w:val="0"/>
      <w:suppressAutoHyphens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D7F3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unhideWhenUsed/>
    <w:rsid w:val="009910D0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paragraph" w:styleId="Paragraphedeliste">
    <w:name w:val="List Paragraph"/>
    <w:basedOn w:val="Normal"/>
    <w:uiPriority w:val="72"/>
    <w:rsid w:val="00FC2250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styleId="Titre1">
    <w:name w:val="heading 1"/>
    <w:basedOn w:val="Heading"/>
    <w:next w:val="Textbody"/>
    <w:qFormat/>
    <w:pPr>
      <w:numPr>
        <w:numId w:val="1"/>
      </w:numPr>
      <w:outlineLvl w:val="0"/>
    </w:pPr>
    <w:rPr>
      <w:b/>
      <w:bCs/>
    </w:rPr>
  </w:style>
  <w:style w:type="paragraph" w:styleId="Titre2">
    <w:name w:val="heading 2"/>
    <w:basedOn w:val="Heading"/>
    <w:next w:val="Textbody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Titre3">
    <w:name w:val="heading 3"/>
    <w:basedOn w:val="Heading"/>
    <w:next w:val="Textbody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Verdana"/>
    </w:rPr>
  </w:style>
  <w:style w:type="character" w:customStyle="1" w:styleId="WW8Num1z1">
    <w:name w:val="WW8Num1z1"/>
    <w:rPr>
      <w:rFonts w:ascii="OpenSymbol" w:hAnsi="OpenSymbol" w:cs="Courier New"/>
    </w:rPr>
  </w:style>
  <w:style w:type="character" w:customStyle="1" w:styleId="WW8Num2z0">
    <w:name w:val="WW8Num2z0"/>
    <w:rPr>
      <w:rFonts w:ascii="Verdana" w:eastAsia="SimSun" w:hAnsi="Verdana" w:cs="Manga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0">
    <w:name w:val="WW8Num4z0"/>
    <w:rPr>
      <w:rFonts w:ascii="Verdana" w:eastAsia="Times New Roman" w:hAnsi="Verdana" w:cs="Verdana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Policepardfaut1">
    <w:name w:val="Police par défaut1"/>
  </w:style>
  <w:style w:type="character" w:customStyle="1" w:styleId="NumberingSymbols">
    <w:name w:val="Numbering Symbol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En-tteCar">
    <w:name w:val="En-tête Car"/>
    <w:rPr>
      <w:szCs w:val="21"/>
    </w:rPr>
  </w:style>
  <w:style w:type="character" w:styleId="Numrodepage">
    <w:name w:val="page number"/>
    <w:basedOn w:val="Policepardfaut1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WW-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WW-Standard"/>
    <w:pPr>
      <w:suppressLineNumbers/>
    </w:pPr>
  </w:style>
  <w:style w:type="paragraph" w:customStyle="1" w:styleId="WW-Standard">
    <w:name w:val="WW-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Heading">
    <w:name w:val="Heading"/>
    <w:basedOn w:val="WW-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pPr>
      <w:spacing w:after="120"/>
    </w:pPr>
  </w:style>
  <w:style w:type="paragraph" w:styleId="Pieddepage">
    <w:name w:val="footer"/>
    <w:basedOn w:val="WW-Standard"/>
    <w:pPr>
      <w:suppressLineNumbers/>
    </w:pPr>
  </w:style>
  <w:style w:type="paragraph" w:customStyle="1" w:styleId="TableContents">
    <w:name w:val="Table Contents"/>
    <w:basedOn w:val="WW-Standard"/>
    <w:pPr>
      <w:suppressLineNumbers/>
    </w:pPr>
  </w:style>
  <w:style w:type="paragraph" w:styleId="En-tte">
    <w:name w:val="header"/>
    <w:basedOn w:val="Normal"/>
    <w:rPr>
      <w:szCs w:val="21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450F2B"/>
    <w:pPr>
      <w:widowControl w:val="0"/>
      <w:suppressAutoHyphens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D7F3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unhideWhenUsed/>
    <w:rsid w:val="009910D0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paragraph" w:styleId="Paragraphedeliste">
    <w:name w:val="List Paragraph"/>
    <w:basedOn w:val="Normal"/>
    <w:uiPriority w:val="72"/>
    <w:rsid w:val="00FC2250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297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11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72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07/relationships/stylesWithEffects" Target="stylesWithEffect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4D5F1315472C449DC7F3D5453E08EE" ma:contentTypeVersion="2" ma:contentTypeDescription="Crée un document." ma:contentTypeScope="" ma:versionID="83ca13e1ae11e557d610dfa47c2ac8a8">
  <xsd:schema xmlns:xsd="http://www.w3.org/2001/XMLSchema" xmlns:xs="http://www.w3.org/2001/XMLSchema" xmlns:p="http://schemas.microsoft.com/office/2006/metadata/properties" xmlns:ns2="c9f4b70c-db7f-4fd0-9b1d-ebaa300a76cc" targetNamespace="http://schemas.microsoft.com/office/2006/metadata/properties" ma:root="true" ma:fieldsID="7b2878665820b16b41fa788e0d90a871" ns2:_="">
    <xsd:import namespace="c9f4b70c-db7f-4fd0-9b1d-ebaa300a76c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4b70c-db7f-4fd0-9b1d-ebaa300a76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EEC47-1B21-4DF0-AAF0-73C1C8225D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f4b70c-db7f-4fd0-9b1d-ebaa300a7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BC5F60-B02C-4A3E-9FB8-7CD02A852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D9E6EA-A2A6-43D0-8278-95FE6198020A}">
  <ds:schemaRefs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c9f4b70c-db7f-4fd0-9b1d-ebaa300a76cc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FBE191A-68F0-42A1-B166-591814468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840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ACTION TYPE</vt:lpstr>
    </vt:vector>
  </TitlesOfParts>
  <Company>Ministère de la Santé</Company>
  <LinksUpToDate>false</LinksUpToDate>
  <CharactersWithSpaces>5452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ACTION TYPE</dc:title>
  <dc:creator>MONTIGNY henri</dc:creator>
  <cp:lastModifiedBy>R.V. (DDCS) </cp:lastModifiedBy>
  <cp:revision>9</cp:revision>
  <cp:lastPrinted>2015-05-27T07:28:00Z</cp:lastPrinted>
  <dcterms:created xsi:type="dcterms:W3CDTF">2017-10-23T16:28:00Z</dcterms:created>
  <dcterms:modified xsi:type="dcterms:W3CDTF">2017-11-07T15:09:00Z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0x010100FE4D5F1315472C449DC7F3D5453E08EE</vt:lpwstr>
  </property>
</Properties>
</file>