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CE361B" w14:textId="0A990934" w:rsidR="00141401" w:rsidRPr="008D57C0" w:rsidRDefault="0A990934" w:rsidP="00827890">
      <w:pPr>
        <w:pStyle w:val="WW-Standard"/>
        <w:spacing w:after="57"/>
        <w:jc w:val="center"/>
        <w:rPr>
          <w:rFonts w:ascii="Verdana" w:hAnsi="Verdana" w:cs="Verdana"/>
          <w:b/>
          <w:bCs/>
          <w:color w:val="17365D" w:themeColor="text2" w:themeShade="BF"/>
          <w:sz w:val="28"/>
          <w:szCs w:val="28"/>
        </w:rPr>
      </w:pPr>
      <w:r w:rsidRPr="0A990934">
        <w:rPr>
          <w:rFonts w:ascii="Verdana" w:eastAsia="Verdana" w:hAnsi="Verdana" w:cs="Verdana"/>
          <w:b/>
          <w:bCs/>
          <w:color w:val="17365D" w:themeColor="text2" w:themeShade="BF"/>
          <w:sz w:val="28"/>
          <w:szCs w:val="28"/>
        </w:rPr>
        <w:t>FICHE 2.2.2</w:t>
      </w:r>
    </w:p>
    <w:p w14:paraId="35F4F228" w14:textId="5081419F" w:rsidR="00825C0B" w:rsidRPr="00843724" w:rsidRDefault="0A990934" w:rsidP="0A990934">
      <w:pPr>
        <w:pStyle w:val="WW-Standard"/>
        <w:shd w:val="clear" w:color="auto" w:fill="1F497D" w:themeFill="text2"/>
        <w:spacing w:after="57"/>
        <w:jc w:val="center"/>
        <w:rPr>
          <w:rFonts w:ascii="Verdana" w:hAnsi="Verdana" w:cs="Verdana"/>
          <w:b/>
          <w:bCs/>
          <w:color w:val="FFFFFF"/>
          <w:sz w:val="28"/>
          <w:szCs w:val="28"/>
        </w:rPr>
      </w:pPr>
      <w:r w:rsidRPr="0A990934">
        <w:rPr>
          <w:rFonts w:ascii="Verdana" w:eastAsia="Verdana" w:hAnsi="Verdana" w:cs="Verdana"/>
          <w:b/>
          <w:bCs/>
          <w:color w:val="FFFFFF" w:themeColor="background1"/>
          <w:sz w:val="28"/>
          <w:szCs w:val="28"/>
        </w:rPr>
        <w:t xml:space="preserve">ADAPTER LES POLITIQUES D’ATTRIBUTION </w:t>
      </w:r>
      <w:r w:rsidR="00825C0B">
        <w:br/>
      </w:r>
      <w:r w:rsidRPr="0A990934">
        <w:rPr>
          <w:rFonts w:ascii="Verdana" w:eastAsia="Verdana" w:hAnsi="Verdana" w:cs="Verdana"/>
          <w:b/>
          <w:bCs/>
          <w:color w:val="FFFFFF" w:themeColor="background1"/>
          <w:sz w:val="28"/>
          <w:szCs w:val="28"/>
        </w:rPr>
        <w:t>AUX ENJEUX DU VIVRE ENSEMBLE</w:t>
      </w:r>
    </w:p>
    <w:p w14:paraId="42077BA1" w14:textId="77777777" w:rsidR="00611755" w:rsidRDefault="00611755" w:rsidP="00611755">
      <w:pPr>
        <w:pStyle w:val="WW-Standard"/>
        <w:spacing w:after="57"/>
        <w:jc w:val="center"/>
        <w:rPr>
          <w:rFonts w:ascii="Verdana" w:hAnsi="Verdana" w:cs="Verdana"/>
          <w:b/>
          <w:bCs/>
          <w:sz w:val="20"/>
          <w:szCs w:val="20"/>
        </w:rPr>
      </w:pPr>
    </w:p>
    <w:tbl>
      <w:tblPr>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B8CCE4"/>
        <w:tblLook w:val="01E0" w:firstRow="1" w:lastRow="1" w:firstColumn="1" w:lastColumn="1" w:noHBand="0" w:noVBand="0"/>
      </w:tblPr>
      <w:tblGrid>
        <w:gridCol w:w="2580"/>
        <w:gridCol w:w="8295"/>
      </w:tblGrid>
      <w:tr w:rsidR="00611755" w:rsidRPr="00243AF9" w14:paraId="382D9048" w14:textId="77777777" w:rsidTr="0A990934">
        <w:trPr>
          <w:trHeight w:val="754"/>
        </w:trPr>
        <w:tc>
          <w:tcPr>
            <w:tcW w:w="2580" w:type="dxa"/>
            <w:shd w:val="clear" w:color="auto" w:fill="B8CCE4" w:themeFill="accent1" w:themeFillTint="66"/>
            <w:vAlign w:val="center"/>
          </w:tcPr>
          <w:p w14:paraId="5325BB38" w14:textId="77777777" w:rsidR="00611755" w:rsidRDefault="00611755" w:rsidP="00611755">
            <w:pPr>
              <w:pStyle w:val="TableContents"/>
              <w:rPr>
                <w:rFonts w:ascii="Verdana" w:hAnsi="Verdana" w:cs="Verdana"/>
                <w:b/>
                <w:bCs/>
                <w:color w:val="1F497D"/>
                <w:sz w:val="20"/>
                <w:szCs w:val="20"/>
              </w:rPr>
            </w:pPr>
            <w:r>
              <w:rPr>
                <w:rFonts w:ascii="Verdana" w:hAnsi="Verdana" w:cs="Verdana"/>
                <w:b/>
                <w:bCs/>
                <w:color w:val="1F497D"/>
                <w:sz w:val="20"/>
                <w:szCs w:val="20"/>
              </w:rPr>
              <w:t>Pilier</w:t>
            </w:r>
            <w:r w:rsidR="00AF6772">
              <w:rPr>
                <w:rFonts w:ascii="Verdana" w:hAnsi="Verdana" w:cs="Verdana"/>
                <w:b/>
                <w:bCs/>
                <w:color w:val="1F497D"/>
                <w:sz w:val="20"/>
                <w:szCs w:val="20"/>
              </w:rPr>
              <w:t xml:space="preserve"> 2</w:t>
            </w:r>
          </w:p>
          <w:p w14:paraId="6D3BFBA0" w14:textId="77777777" w:rsidR="005F0153" w:rsidRPr="00243AF9" w:rsidRDefault="00611755" w:rsidP="00BE4175">
            <w:pPr>
              <w:pStyle w:val="TableContents"/>
              <w:rPr>
                <w:rFonts w:ascii="Verdana" w:hAnsi="Verdana" w:cs="Verdana"/>
                <w:b/>
                <w:bCs/>
                <w:color w:val="1F497D"/>
                <w:sz w:val="20"/>
                <w:szCs w:val="20"/>
              </w:rPr>
            </w:pPr>
            <w:r>
              <w:rPr>
                <w:rFonts w:ascii="Verdana" w:hAnsi="Verdana" w:cs="Verdana"/>
                <w:b/>
                <w:bCs/>
                <w:color w:val="1F497D"/>
                <w:sz w:val="20"/>
                <w:szCs w:val="20"/>
              </w:rPr>
              <w:t>Axe</w:t>
            </w:r>
            <w:r w:rsidR="00806B91">
              <w:rPr>
                <w:rFonts w:ascii="Verdana" w:hAnsi="Verdana" w:cs="Verdana"/>
                <w:b/>
                <w:bCs/>
                <w:color w:val="1F497D"/>
                <w:sz w:val="20"/>
                <w:szCs w:val="20"/>
              </w:rPr>
              <w:t> </w:t>
            </w:r>
            <w:r w:rsidR="00843724">
              <w:rPr>
                <w:rFonts w:ascii="Verdana" w:hAnsi="Verdana" w:cs="Verdana"/>
                <w:b/>
                <w:bCs/>
                <w:color w:val="1F497D"/>
                <w:sz w:val="20"/>
                <w:szCs w:val="20"/>
              </w:rPr>
              <w:t>2</w:t>
            </w:r>
          </w:p>
        </w:tc>
        <w:tc>
          <w:tcPr>
            <w:tcW w:w="8295" w:type="dxa"/>
            <w:shd w:val="clear" w:color="auto" w:fill="B8CCE4" w:themeFill="accent1" w:themeFillTint="66"/>
            <w:vAlign w:val="center"/>
          </w:tcPr>
          <w:p w14:paraId="0705CA3B" w14:textId="77777777" w:rsidR="00611755" w:rsidRPr="00405EFC" w:rsidRDefault="00806B91" w:rsidP="00403AC9">
            <w:pPr>
              <w:pStyle w:val="TableContents"/>
              <w:rPr>
                <w:rFonts w:ascii="Verdana" w:hAnsi="Verdana" w:cs="Verdana"/>
                <w:b/>
                <w:bCs/>
                <w:color w:val="1F497D"/>
                <w:sz w:val="20"/>
                <w:szCs w:val="20"/>
              </w:rPr>
            </w:pPr>
            <w:r>
              <w:rPr>
                <w:rFonts w:ascii="Verdana" w:hAnsi="Verdana" w:cs="Verdana"/>
                <w:b/>
                <w:bCs/>
                <w:color w:val="1F497D"/>
                <w:sz w:val="20"/>
                <w:szCs w:val="20"/>
              </w:rPr>
              <w:t>Enjeu</w:t>
            </w:r>
            <w:r w:rsidR="00481787">
              <w:rPr>
                <w:rFonts w:ascii="Verdana" w:hAnsi="Verdana" w:cs="Verdana"/>
                <w:b/>
                <w:bCs/>
                <w:color w:val="1F497D"/>
                <w:sz w:val="20"/>
                <w:szCs w:val="20"/>
              </w:rPr>
              <w:t> :</w:t>
            </w:r>
            <w:r>
              <w:rPr>
                <w:rFonts w:ascii="Verdana" w:hAnsi="Verdana" w:cs="Verdana"/>
                <w:b/>
                <w:bCs/>
                <w:color w:val="1F497D"/>
                <w:sz w:val="20"/>
                <w:szCs w:val="20"/>
              </w:rPr>
              <w:t> </w:t>
            </w:r>
            <w:r w:rsidR="00843724" w:rsidRPr="00843724">
              <w:rPr>
                <w:rFonts w:ascii="Verdana" w:hAnsi="Verdana" w:cs="Verdana"/>
                <w:b/>
                <w:bCs/>
                <w:color w:val="1F497D"/>
                <w:sz w:val="20"/>
                <w:szCs w:val="20"/>
              </w:rPr>
              <w:t xml:space="preserve">Conforter et adapter les politiques d’attribution pour favoriser la mixité sociale </w:t>
            </w:r>
          </w:p>
        </w:tc>
      </w:tr>
    </w:tbl>
    <w:p w14:paraId="31F087EA" w14:textId="77777777" w:rsidR="00611755" w:rsidRPr="00243AF9" w:rsidRDefault="00611755" w:rsidP="00611755">
      <w:pPr>
        <w:pStyle w:val="WW-Standard"/>
        <w:spacing w:after="57"/>
        <w:jc w:val="center"/>
        <w:rPr>
          <w:rFonts w:ascii="Verdana" w:hAnsi="Verdana" w:cs="Verdana"/>
          <w:b/>
          <w:bCs/>
          <w:color w:val="1F497D"/>
          <w:sz w:val="20"/>
          <w:szCs w:val="20"/>
        </w:rPr>
      </w:pPr>
    </w:p>
    <w:tbl>
      <w:tblPr>
        <w:tblW w:w="10854" w:type="dxa"/>
        <w:tblInd w:w="-7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left w:w="10" w:type="dxa"/>
          <w:right w:w="10" w:type="dxa"/>
        </w:tblCellMar>
        <w:tblLook w:val="0000" w:firstRow="0" w:lastRow="0" w:firstColumn="0" w:lastColumn="0" w:noHBand="0" w:noVBand="0"/>
      </w:tblPr>
      <w:tblGrid>
        <w:gridCol w:w="2676"/>
        <w:gridCol w:w="8178"/>
      </w:tblGrid>
      <w:tr w:rsidR="00611755" w:rsidRPr="009F5701" w14:paraId="215B6722" w14:textId="77777777" w:rsidTr="0A990934">
        <w:trPr>
          <w:trHeight w:val="150"/>
        </w:trPr>
        <w:tc>
          <w:tcPr>
            <w:tcW w:w="2670" w:type="dxa"/>
            <w:shd w:val="clear" w:color="auto" w:fill="B8CCE4" w:themeFill="accent1" w:themeFillTint="66"/>
          </w:tcPr>
          <w:p w14:paraId="5DDBC4FE" w14:textId="77777777" w:rsidR="00611755" w:rsidRPr="009F5701" w:rsidRDefault="00611755" w:rsidP="00611755">
            <w:pPr>
              <w:pStyle w:val="TableContents"/>
              <w:snapToGrid w:val="0"/>
              <w:spacing w:before="120" w:after="120"/>
              <w:ind w:left="71" w:right="-10"/>
              <w:rPr>
                <w:rFonts w:ascii="Verdana" w:hAnsi="Verdana" w:cs="Verdana"/>
                <w:b/>
                <w:bCs/>
                <w:color w:val="1F497D"/>
                <w:sz w:val="20"/>
                <w:szCs w:val="20"/>
              </w:rPr>
            </w:pPr>
            <w:r w:rsidRPr="009F5701">
              <w:rPr>
                <w:rFonts w:ascii="Verdana" w:hAnsi="Verdana" w:cs="Verdana"/>
                <w:b/>
                <w:bCs/>
                <w:color w:val="1F497D"/>
                <w:sz w:val="20"/>
                <w:szCs w:val="20"/>
              </w:rPr>
              <w:t xml:space="preserve">Contexte </w:t>
            </w:r>
          </w:p>
          <w:p w14:paraId="13E337F1" w14:textId="3BA83AA6" w:rsidR="00611755" w:rsidRPr="009F5701" w:rsidRDefault="00611755" w:rsidP="00611755">
            <w:pPr>
              <w:pStyle w:val="TableContents"/>
              <w:snapToGrid w:val="0"/>
              <w:spacing w:before="120" w:after="120"/>
              <w:ind w:left="71" w:right="-10"/>
              <w:rPr>
                <w:rFonts w:ascii="Verdana" w:hAnsi="Verdana" w:cs="Verdana"/>
                <w:bCs/>
                <w:i/>
                <w:color w:val="1F497D"/>
                <w:sz w:val="20"/>
                <w:szCs w:val="20"/>
              </w:rPr>
            </w:pPr>
          </w:p>
        </w:tc>
        <w:tc>
          <w:tcPr>
            <w:tcW w:w="8160" w:type="dxa"/>
            <w:shd w:val="clear" w:color="auto" w:fill="B8CCE4" w:themeFill="accent1" w:themeFillTint="66"/>
          </w:tcPr>
          <w:p w14:paraId="77D97F39" w14:textId="53185D40" w:rsidR="0A990934" w:rsidRPr="009F5701" w:rsidRDefault="0A990934" w:rsidP="009F5701">
            <w:pPr>
              <w:pStyle w:val="TableContents"/>
              <w:numPr>
                <w:ilvl w:val="0"/>
                <w:numId w:val="14"/>
              </w:numPr>
              <w:spacing w:before="120" w:after="120"/>
              <w:jc w:val="both"/>
              <w:rPr>
                <w:rFonts w:ascii="Verdana" w:eastAsia="Verdana" w:hAnsi="Verdana" w:cs="Verdana"/>
                <w:color w:val="1F497D" w:themeColor="text2"/>
                <w:sz w:val="20"/>
                <w:szCs w:val="20"/>
              </w:rPr>
            </w:pPr>
            <w:r w:rsidRPr="009F5701">
              <w:rPr>
                <w:rFonts w:ascii="Verdana" w:eastAsia="Verdana,Arial" w:hAnsi="Verdana" w:cs="Verdana,Arial"/>
                <w:color w:val="1F497D" w:themeColor="text2"/>
                <w:sz w:val="20"/>
                <w:szCs w:val="20"/>
              </w:rPr>
              <w:t xml:space="preserve">Des outils juridiques, financiers, partenariaux ont été développés dans le cadre de l’accord collectif intercommunal (ACI) pour mener des politiques d’attribution concertées en faveur de l’équilibre de peuplement au sein des programmes HLM </w:t>
            </w:r>
          </w:p>
          <w:p w14:paraId="429A0E4F" w14:textId="12C5CE3A" w:rsidR="00020A54" w:rsidRPr="009F5701" w:rsidRDefault="0A990934" w:rsidP="009F5701">
            <w:pPr>
              <w:pStyle w:val="TableContents"/>
              <w:numPr>
                <w:ilvl w:val="0"/>
                <w:numId w:val="14"/>
              </w:numPr>
              <w:autoSpaceDN w:val="0"/>
              <w:spacing w:before="120" w:after="120"/>
              <w:jc w:val="both"/>
              <w:rPr>
                <w:rFonts w:ascii="Verdana" w:eastAsia="Verdana" w:hAnsi="Verdana" w:cs="Verdana"/>
                <w:bCs/>
                <w:color w:val="1F497D"/>
                <w:sz w:val="20"/>
                <w:szCs w:val="20"/>
              </w:rPr>
            </w:pPr>
            <w:r w:rsidRPr="009F5701">
              <w:rPr>
                <w:rFonts w:ascii="Verdana" w:eastAsia="Verdana,Arial" w:hAnsi="Verdana" w:cs="Verdana,Arial"/>
                <w:color w:val="1F497D" w:themeColor="text2"/>
                <w:sz w:val="20"/>
                <w:szCs w:val="20"/>
              </w:rPr>
              <w:t>Mais il apparaît que, les bases de la stratégie de peuplement étant posées, il y a nécessité de passer à une seconde étape plus connectée aux pratiques concrètes d’attribution et aux réalités de l’ambiance des quartiers évaluée « au fil de l’eau » pour faire face plus rapidement aux évolutions constatées. Il s’agit d’articuler ce cadre d’intervention général avec les remontées issues du terrain (groupe GUP, coordinations de travailleurs sociaux…) en vue d’une plus forte réactivité sur les évolutions de peuplement qui se produisent sur les sites (spécialisation aggravée, regroupements communautaires…) et gérer leurs effets.</w:t>
            </w:r>
          </w:p>
        </w:tc>
      </w:tr>
      <w:tr w:rsidR="00611755" w:rsidRPr="009F5701" w14:paraId="532A2049" w14:textId="77777777" w:rsidTr="0A990934">
        <w:trPr>
          <w:trHeight w:val="142"/>
        </w:trPr>
        <w:tc>
          <w:tcPr>
            <w:tcW w:w="2670" w:type="dxa"/>
            <w:shd w:val="clear" w:color="auto" w:fill="B8CCE4" w:themeFill="accent1" w:themeFillTint="66"/>
          </w:tcPr>
          <w:p w14:paraId="6C2AC991" w14:textId="77777777" w:rsidR="00611755" w:rsidRPr="009F5701" w:rsidRDefault="00611755" w:rsidP="00611755">
            <w:pPr>
              <w:pStyle w:val="TableContents"/>
              <w:spacing w:before="120" w:after="120"/>
              <w:ind w:left="71" w:right="-10"/>
              <w:rPr>
                <w:rFonts w:ascii="Verdana" w:hAnsi="Verdana" w:cs="Verdana"/>
                <w:b/>
                <w:bCs/>
                <w:color w:val="1F497D"/>
                <w:sz w:val="20"/>
                <w:szCs w:val="20"/>
              </w:rPr>
            </w:pPr>
            <w:r w:rsidRPr="009F5701">
              <w:rPr>
                <w:rFonts w:ascii="Verdana" w:hAnsi="Verdana" w:cs="Verdana"/>
                <w:b/>
                <w:bCs/>
                <w:color w:val="1F497D"/>
                <w:sz w:val="20"/>
                <w:szCs w:val="20"/>
              </w:rPr>
              <w:t>Objectifs et dynamiques</w:t>
            </w:r>
          </w:p>
          <w:p w14:paraId="46735A48" w14:textId="47F1B651" w:rsidR="00611755" w:rsidRPr="009F5701" w:rsidRDefault="00611755" w:rsidP="008D57C0">
            <w:pPr>
              <w:pStyle w:val="TableContents"/>
              <w:autoSpaceDN w:val="0"/>
              <w:spacing w:before="120" w:after="120"/>
              <w:jc w:val="both"/>
              <w:rPr>
                <w:rFonts w:ascii="Verdana" w:hAnsi="Verdana" w:cs="Arial"/>
                <w:i/>
                <w:color w:val="1F497D"/>
                <w:sz w:val="20"/>
                <w:szCs w:val="20"/>
              </w:rPr>
            </w:pPr>
          </w:p>
        </w:tc>
        <w:tc>
          <w:tcPr>
            <w:tcW w:w="8160" w:type="dxa"/>
            <w:shd w:val="clear" w:color="auto" w:fill="B8CCE4" w:themeFill="accent1" w:themeFillTint="66"/>
          </w:tcPr>
          <w:p w14:paraId="1A94B059" w14:textId="2F025941" w:rsidR="002929E6" w:rsidRPr="009F5701" w:rsidRDefault="0A990934" w:rsidP="009F5701">
            <w:pPr>
              <w:pStyle w:val="TableContents"/>
              <w:numPr>
                <w:ilvl w:val="0"/>
                <w:numId w:val="13"/>
              </w:numPr>
              <w:autoSpaceDN w:val="0"/>
              <w:spacing w:before="120" w:after="120"/>
              <w:rPr>
                <w:rFonts w:ascii="Verdana" w:eastAsia="Verdana" w:hAnsi="Verdana" w:cs="Verdana"/>
                <w:i/>
                <w:color w:val="1F497D" w:themeColor="text2"/>
                <w:sz w:val="20"/>
                <w:szCs w:val="20"/>
              </w:rPr>
            </w:pPr>
            <w:r w:rsidRPr="009F5701">
              <w:rPr>
                <w:rFonts w:ascii="Verdana" w:eastAsia="Verdana,Arial" w:hAnsi="Verdana" w:cs="Verdana,Arial"/>
                <w:color w:val="1F497D" w:themeColor="text2"/>
                <w:sz w:val="20"/>
                <w:szCs w:val="20"/>
              </w:rPr>
              <w:t>Optimiser et pérenniser les mesures de l’ACI favorisant le maintien de la mixité sociale, en particulier :</w:t>
            </w:r>
            <w:r w:rsidR="009F5701">
              <w:rPr>
                <w:rFonts w:ascii="Verdana" w:eastAsia="Verdana,Arial" w:hAnsi="Verdana" w:cs="Verdana,Arial"/>
                <w:color w:val="1F497D" w:themeColor="text2"/>
                <w:sz w:val="20"/>
                <w:szCs w:val="20"/>
              </w:rPr>
              <w:br/>
            </w:r>
            <w:r w:rsidRPr="009F5701">
              <w:rPr>
                <w:rFonts w:ascii="Verdana" w:eastAsia="Verdana,Arial" w:hAnsi="Verdana" w:cs="Verdana,Arial"/>
                <w:color w:val="1F497D" w:themeColor="text2"/>
                <w:sz w:val="20"/>
                <w:szCs w:val="20"/>
              </w:rPr>
              <w:t>l’exonération du surloyer HLM dans les quartiers prioritaires</w:t>
            </w:r>
            <w:r w:rsidR="004F4A57" w:rsidRPr="009F5701">
              <w:rPr>
                <w:rFonts w:ascii="Verdana" w:hAnsi="Verdana"/>
                <w:sz w:val="20"/>
                <w:szCs w:val="20"/>
              </w:rPr>
              <w:br/>
            </w:r>
            <w:r w:rsidRPr="009F5701">
              <w:rPr>
                <w:rFonts w:ascii="Verdana" w:eastAsia="Verdana,Arial" w:hAnsi="Verdana" w:cs="Verdana,Arial"/>
                <w:color w:val="1F497D" w:themeColor="text2"/>
                <w:sz w:val="20"/>
                <w:szCs w:val="20"/>
              </w:rPr>
              <w:t>la dérogation aux plafonds de ressources dans les quartiers prioritaires</w:t>
            </w:r>
            <w:r w:rsidR="004F4A57" w:rsidRPr="009F5701">
              <w:rPr>
                <w:rFonts w:ascii="Verdana" w:hAnsi="Verdana"/>
                <w:sz w:val="20"/>
                <w:szCs w:val="20"/>
              </w:rPr>
              <w:br/>
            </w:r>
            <w:r w:rsidRPr="009F5701">
              <w:rPr>
                <w:rFonts w:ascii="Verdana" w:eastAsia="Verdana,Arial" w:hAnsi="Verdana" w:cs="Verdana,Arial"/>
                <w:color w:val="1F497D" w:themeColor="text2"/>
                <w:sz w:val="20"/>
                <w:szCs w:val="20"/>
              </w:rPr>
              <w:t>le financement de la vacance volontaire dans les programmes HLM les plus spécialisés</w:t>
            </w:r>
          </w:p>
          <w:p w14:paraId="65EEBA9C" w14:textId="41924120" w:rsidR="00020A54" w:rsidRPr="009F5701" w:rsidRDefault="0A990934" w:rsidP="009F5701">
            <w:pPr>
              <w:pStyle w:val="TableContents"/>
              <w:numPr>
                <w:ilvl w:val="0"/>
                <w:numId w:val="13"/>
              </w:numPr>
              <w:autoSpaceDN w:val="0"/>
              <w:spacing w:before="120" w:after="120"/>
              <w:jc w:val="both"/>
              <w:rPr>
                <w:rFonts w:ascii="Verdana" w:eastAsia="Verdana" w:hAnsi="Verdana" w:cs="Verdana"/>
                <w:i/>
                <w:color w:val="1F497D" w:themeColor="text2"/>
                <w:sz w:val="20"/>
                <w:szCs w:val="20"/>
              </w:rPr>
            </w:pPr>
            <w:r w:rsidRPr="009F5701">
              <w:rPr>
                <w:rFonts w:ascii="Verdana" w:eastAsia="Verdana,Arial" w:hAnsi="Verdana" w:cs="Verdana,Arial"/>
                <w:color w:val="1F497D" w:themeColor="text2"/>
                <w:sz w:val="20"/>
                <w:szCs w:val="20"/>
              </w:rPr>
              <w:t>Exercer une vigilance renforcée sur les évolutions de peuplement des quartiers prioritaires pour intervenir avec réactivité.</w:t>
            </w:r>
          </w:p>
          <w:p w14:paraId="2A113DBD" w14:textId="3F50F8AE" w:rsidR="00D90F22" w:rsidRPr="009F5701" w:rsidRDefault="0A990934" w:rsidP="009F5701">
            <w:pPr>
              <w:pStyle w:val="TableContents"/>
              <w:numPr>
                <w:ilvl w:val="0"/>
                <w:numId w:val="13"/>
              </w:numPr>
              <w:autoSpaceDN w:val="0"/>
              <w:spacing w:before="120" w:after="120"/>
              <w:jc w:val="both"/>
              <w:rPr>
                <w:rFonts w:ascii="Verdana" w:eastAsia="Verdana" w:hAnsi="Verdana" w:cs="Verdana"/>
                <w:i/>
                <w:color w:val="1F497D" w:themeColor="text2"/>
                <w:sz w:val="20"/>
                <w:szCs w:val="20"/>
              </w:rPr>
            </w:pPr>
            <w:r w:rsidRPr="009F5701">
              <w:rPr>
                <w:rFonts w:ascii="Verdana" w:eastAsia="Verdana,Arial" w:hAnsi="Verdana" w:cs="Verdana,Arial"/>
                <w:color w:val="1F497D" w:themeColor="text2"/>
                <w:sz w:val="20"/>
                <w:szCs w:val="20"/>
              </w:rPr>
              <w:t>Renforcer la coordination des réservataires pour anticiper les effets de certaines attributions.</w:t>
            </w:r>
          </w:p>
        </w:tc>
      </w:tr>
      <w:tr w:rsidR="00611755" w:rsidRPr="009F5701" w14:paraId="00FE3003" w14:textId="77777777" w:rsidTr="0A990934">
        <w:trPr>
          <w:trHeight w:val="170"/>
        </w:trPr>
        <w:tc>
          <w:tcPr>
            <w:tcW w:w="2670" w:type="dxa"/>
            <w:shd w:val="clear" w:color="auto" w:fill="B8CCE4" w:themeFill="accent1" w:themeFillTint="66"/>
          </w:tcPr>
          <w:p w14:paraId="3B6351E9" w14:textId="77777777" w:rsidR="005F0153" w:rsidRPr="009F5701" w:rsidRDefault="00611755" w:rsidP="00611755">
            <w:pPr>
              <w:pStyle w:val="TableContents"/>
              <w:spacing w:before="120" w:after="120"/>
              <w:ind w:left="71" w:right="-10"/>
              <w:rPr>
                <w:rFonts w:ascii="Verdana" w:hAnsi="Verdana" w:cs="Verdana"/>
                <w:b/>
                <w:bCs/>
                <w:color w:val="1F497D"/>
                <w:sz w:val="20"/>
                <w:szCs w:val="20"/>
              </w:rPr>
            </w:pPr>
            <w:r w:rsidRPr="009F5701">
              <w:rPr>
                <w:rFonts w:ascii="Verdana" w:hAnsi="Verdana" w:cs="Verdana"/>
                <w:b/>
                <w:bCs/>
                <w:color w:val="1F497D"/>
                <w:sz w:val="20"/>
                <w:szCs w:val="20"/>
              </w:rPr>
              <w:t xml:space="preserve">Réalisations attendues </w:t>
            </w:r>
          </w:p>
          <w:p w14:paraId="0AD76D19" w14:textId="3CB4FBD8" w:rsidR="00611755" w:rsidRPr="009F5701" w:rsidRDefault="00611755" w:rsidP="009F5701">
            <w:pPr>
              <w:pStyle w:val="TableContents"/>
              <w:spacing w:before="120" w:after="120"/>
              <w:ind w:left="71" w:right="-10"/>
              <w:rPr>
                <w:rFonts w:ascii="Verdana" w:hAnsi="Verdana" w:cs="Verdana"/>
                <w:b/>
                <w:bCs/>
                <w:color w:val="1F497D"/>
                <w:sz w:val="20"/>
                <w:szCs w:val="20"/>
              </w:rPr>
            </w:pPr>
          </w:p>
        </w:tc>
        <w:tc>
          <w:tcPr>
            <w:tcW w:w="8160" w:type="dxa"/>
            <w:shd w:val="clear" w:color="auto" w:fill="B8CCE4" w:themeFill="accent1" w:themeFillTint="66"/>
          </w:tcPr>
          <w:p w14:paraId="2610C800" w14:textId="73231BD0" w:rsidR="00611755" w:rsidRPr="009F5701" w:rsidRDefault="0A990934" w:rsidP="009F5701">
            <w:pPr>
              <w:pStyle w:val="TableContents"/>
              <w:numPr>
                <w:ilvl w:val="0"/>
                <w:numId w:val="15"/>
              </w:numPr>
              <w:autoSpaceDN w:val="0"/>
              <w:spacing w:before="120" w:after="120"/>
              <w:jc w:val="both"/>
              <w:rPr>
                <w:rFonts w:ascii="Verdana" w:eastAsia="Verdana,Arial" w:hAnsi="Verdana" w:cs="Verdana,Arial"/>
                <w:color w:val="1F497D" w:themeColor="text2"/>
                <w:sz w:val="20"/>
                <w:szCs w:val="20"/>
              </w:rPr>
            </w:pPr>
            <w:r w:rsidRPr="009F5701">
              <w:rPr>
                <w:rFonts w:ascii="Verdana" w:eastAsia="Verdana,Arial" w:hAnsi="Verdana" w:cs="Verdana,Arial"/>
                <w:color w:val="1F497D" w:themeColor="text2"/>
                <w:sz w:val="20"/>
                <w:szCs w:val="20"/>
              </w:rPr>
              <w:t>Maintenir les dispositifs de l'ACI permettant le maintien de la mixité sociale</w:t>
            </w:r>
          </w:p>
          <w:p w14:paraId="14EBA7EC" w14:textId="36A05C86" w:rsidR="00611755" w:rsidRPr="009F5701" w:rsidRDefault="0A990934" w:rsidP="009F5701">
            <w:pPr>
              <w:pStyle w:val="TableContents"/>
              <w:numPr>
                <w:ilvl w:val="0"/>
                <w:numId w:val="15"/>
              </w:numPr>
              <w:autoSpaceDN w:val="0"/>
              <w:spacing w:before="120" w:after="120"/>
              <w:jc w:val="both"/>
              <w:rPr>
                <w:rFonts w:ascii="Verdana" w:eastAsia="Verdana,Arial" w:hAnsi="Verdana" w:cs="Verdana,Arial"/>
                <w:color w:val="1F497D" w:themeColor="text2"/>
                <w:sz w:val="20"/>
                <w:szCs w:val="20"/>
              </w:rPr>
            </w:pPr>
            <w:r w:rsidRPr="009F5701">
              <w:rPr>
                <w:rFonts w:ascii="Verdana" w:eastAsia="Verdana,Arial" w:hAnsi="Verdana" w:cs="Verdana,Arial"/>
                <w:color w:val="1F497D" w:themeColor="text2"/>
                <w:sz w:val="20"/>
                <w:szCs w:val="20"/>
              </w:rPr>
              <w:t>Maintien voire développement du recours des bailleurs sociaux aux outils de l’ACI</w:t>
            </w:r>
          </w:p>
          <w:p w14:paraId="03AFB2B4" w14:textId="6EE9680A" w:rsidR="00814E57" w:rsidRPr="009F5701" w:rsidRDefault="0A990934" w:rsidP="009F5701">
            <w:pPr>
              <w:pStyle w:val="TableContents"/>
              <w:numPr>
                <w:ilvl w:val="0"/>
                <w:numId w:val="15"/>
              </w:numPr>
              <w:autoSpaceDN w:val="0"/>
              <w:spacing w:before="120" w:after="120"/>
              <w:jc w:val="both"/>
              <w:rPr>
                <w:rFonts w:ascii="Verdana" w:eastAsia="Verdana,Arial" w:hAnsi="Verdana" w:cs="Verdana,Arial"/>
                <w:color w:val="1F497D" w:themeColor="text2"/>
                <w:sz w:val="20"/>
                <w:szCs w:val="20"/>
              </w:rPr>
            </w:pPr>
            <w:r w:rsidRPr="009F5701">
              <w:rPr>
                <w:rFonts w:ascii="Verdana" w:eastAsia="Verdana,Arial" w:hAnsi="Verdana" w:cs="Verdana,Arial"/>
                <w:color w:val="1F497D" w:themeColor="text2"/>
                <w:sz w:val="20"/>
                <w:szCs w:val="20"/>
              </w:rPr>
              <w:t>Gestion concertée des contingents Villes, Etat, collecteurs 1% logement (remise à disposition des contingents, critères communs…)</w:t>
            </w:r>
          </w:p>
          <w:p w14:paraId="23C3F781" w14:textId="37567C4C" w:rsidR="00814E57" w:rsidRPr="009F5701" w:rsidRDefault="0A990934" w:rsidP="009F5701">
            <w:pPr>
              <w:pStyle w:val="TableContents"/>
              <w:numPr>
                <w:ilvl w:val="0"/>
                <w:numId w:val="15"/>
              </w:numPr>
              <w:autoSpaceDN w:val="0"/>
              <w:spacing w:before="120" w:after="120"/>
              <w:jc w:val="both"/>
              <w:rPr>
                <w:rFonts w:ascii="Verdana" w:eastAsia="Verdana,Arial" w:hAnsi="Verdana" w:cs="Verdana,Arial"/>
                <w:color w:val="1F497D" w:themeColor="text2"/>
                <w:sz w:val="20"/>
                <w:szCs w:val="20"/>
              </w:rPr>
            </w:pPr>
            <w:r w:rsidRPr="009F5701">
              <w:rPr>
                <w:rFonts w:ascii="Verdana" w:eastAsia="Verdana,Arial" w:hAnsi="Verdana" w:cs="Verdana,Arial"/>
                <w:color w:val="1F497D" w:themeColor="text2"/>
                <w:sz w:val="20"/>
                <w:szCs w:val="20"/>
              </w:rPr>
              <w:t>Réalisation d'une enquête de mobilité résidentielle (sortants-entrants) pour mieux connaitre l'évolution du peuplement des quartiers.</w:t>
            </w:r>
          </w:p>
          <w:p w14:paraId="4C26E26C" w14:textId="77777777" w:rsidR="00814E57" w:rsidRPr="009F5701" w:rsidRDefault="00814E57" w:rsidP="0009398D">
            <w:pPr>
              <w:pStyle w:val="TableContents"/>
              <w:autoSpaceDN w:val="0"/>
              <w:spacing w:before="120" w:after="120"/>
              <w:jc w:val="both"/>
              <w:rPr>
                <w:rFonts w:ascii="Verdana" w:hAnsi="Verdana" w:cs="Arial"/>
                <w:color w:val="1F497D"/>
                <w:sz w:val="20"/>
                <w:szCs w:val="20"/>
              </w:rPr>
            </w:pPr>
          </w:p>
        </w:tc>
      </w:tr>
      <w:tr w:rsidR="00611755" w:rsidRPr="009F5701" w14:paraId="5BB0FC03" w14:textId="77777777" w:rsidTr="0A990934">
        <w:tc>
          <w:tcPr>
            <w:tcW w:w="2670" w:type="dxa"/>
            <w:shd w:val="clear" w:color="auto" w:fill="B8CCE4" w:themeFill="accent1" w:themeFillTint="66"/>
          </w:tcPr>
          <w:p w14:paraId="1483F672" w14:textId="77777777" w:rsidR="005F0153" w:rsidRPr="009F5701" w:rsidRDefault="00611755" w:rsidP="00611755">
            <w:pPr>
              <w:pStyle w:val="TableContents"/>
              <w:spacing w:before="120" w:after="120"/>
              <w:ind w:left="71" w:right="-10"/>
              <w:rPr>
                <w:rFonts w:ascii="Verdana" w:hAnsi="Verdana" w:cs="Verdana"/>
                <w:b/>
                <w:bCs/>
                <w:color w:val="1F497D"/>
                <w:sz w:val="20"/>
                <w:szCs w:val="20"/>
              </w:rPr>
            </w:pPr>
            <w:r w:rsidRPr="009F5701">
              <w:rPr>
                <w:rFonts w:ascii="Verdana" w:hAnsi="Verdana" w:cs="Verdana"/>
                <w:b/>
                <w:bCs/>
                <w:color w:val="1F497D"/>
                <w:sz w:val="20"/>
                <w:szCs w:val="20"/>
              </w:rPr>
              <w:t xml:space="preserve">Effets attendus </w:t>
            </w:r>
          </w:p>
          <w:p w14:paraId="55509B55" w14:textId="10F23476" w:rsidR="00611755" w:rsidRPr="009F5701" w:rsidRDefault="00611755" w:rsidP="005F0153">
            <w:pPr>
              <w:pStyle w:val="TableContents"/>
              <w:spacing w:before="120" w:after="120"/>
              <w:ind w:left="71" w:right="-10"/>
              <w:rPr>
                <w:rFonts w:ascii="Verdana" w:hAnsi="Verdana" w:cs="Verdana"/>
                <w:bCs/>
                <w:i/>
                <w:color w:val="1F497D"/>
                <w:sz w:val="20"/>
                <w:szCs w:val="20"/>
              </w:rPr>
            </w:pPr>
          </w:p>
        </w:tc>
        <w:tc>
          <w:tcPr>
            <w:tcW w:w="8160" w:type="dxa"/>
            <w:shd w:val="clear" w:color="auto" w:fill="B8CCE4" w:themeFill="accent1" w:themeFillTint="66"/>
          </w:tcPr>
          <w:p w14:paraId="377593A1" w14:textId="78E3175D" w:rsidR="00611755" w:rsidRPr="009F5701" w:rsidRDefault="0A990934" w:rsidP="009F5701">
            <w:pPr>
              <w:pStyle w:val="TableContents"/>
              <w:numPr>
                <w:ilvl w:val="0"/>
                <w:numId w:val="16"/>
              </w:numPr>
              <w:autoSpaceDN w:val="0"/>
              <w:spacing w:before="120" w:after="120"/>
              <w:jc w:val="both"/>
              <w:rPr>
                <w:rFonts w:ascii="Verdana" w:eastAsia="Verdana,Arial" w:hAnsi="Verdana" w:cs="Verdana,Arial"/>
                <w:color w:val="1F497D" w:themeColor="text2"/>
                <w:sz w:val="20"/>
                <w:szCs w:val="20"/>
              </w:rPr>
            </w:pPr>
            <w:bookmarkStart w:id="0" w:name="_GoBack"/>
            <w:r w:rsidRPr="009F5701">
              <w:rPr>
                <w:rFonts w:ascii="Verdana" w:eastAsia="Verdana,Arial" w:hAnsi="Verdana" w:cs="Verdana,Arial"/>
                <w:color w:val="1F497D" w:themeColor="text2"/>
                <w:sz w:val="20"/>
                <w:szCs w:val="20"/>
              </w:rPr>
              <w:t>faciliter l'accès et maintenir les populations stabilisantes dans les quartiers prioritaires.</w:t>
            </w:r>
          </w:p>
          <w:p w14:paraId="58A667F2" w14:textId="1C081A3C" w:rsidR="00611755" w:rsidRPr="009F5701" w:rsidRDefault="0A990934" w:rsidP="009F5701">
            <w:pPr>
              <w:pStyle w:val="TableContents"/>
              <w:numPr>
                <w:ilvl w:val="0"/>
                <w:numId w:val="16"/>
              </w:numPr>
              <w:autoSpaceDN w:val="0"/>
              <w:spacing w:before="120" w:after="120"/>
              <w:jc w:val="both"/>
              <w:rPr>
                <w:rFonts w:ascii="Verdana" w:hAnsi="Verdana" w:cs="Arial"/>
                <w:i/>
                <w:color w:val="1F497D" w:themeColor="text2"/>
                <w:sz w:val="20"/>
                <w:szCs w:val="20"/>
              </w:rPr>
            </w:pPr>
            <w:r w:rsidRPr="009F5701">
              <w:rPr>
                <w:rFonts w:ascii="Verdana" w:eastAsia="Verdana,Arial" w:hAnsi="Verdana" w:cs="Verdana,Arial"/>
                <w:color w:val="1F497D" w:themeColor="text2"/>
                <w:sz w:val="20"/>
                <w:szCs w:val="20"/>
              </w:rPr>
              <w:t>Mieux appréhender les effets des évolutions de peuplement</w:t>
            </w:r>
            <w:bookmarkEnd w:id="0"/>
          </w:p>
        </w:tc>
      </w:tr>
      <w:tr w:rsidR="00611755" w:rsidRPr="009F5701" w14:paraId="08F2BC7E" w14:textId="77777777" w:rsidTr="0A990934">
        <w:tc>
          <w:tcPr>
            <w:tcW w:w="2670" w:type="dxa"/>
            <w:shd w:val="clear" w:color="auto" w:fill="B8CCE4" w:themeFill="accent1" w:themeFillTint="66"/>
          </w:tcPr>
          <w:p w14:paraId="34B04D59" w14:textId="77777777" w:rsidR="00611755" w:rsidRPr="009F5701" w:rsidRDefault="00611755" w:rsidP="00611755">
            <w:pPr>
              <w:pStyle w:val="TableContents"/>
              <w:spacing w:before="120" w:after="120"/>
              <w:ind w:left="71" w:right="-10"/>
              <w:rPr>
                <w:rFonts w:ascii="Verdana" w:hAnsi="Verdana" w:cs="Verdana"/>
                <w:b/>
                <w:bCs/>
                <w:color w:val="1F497D"/>
                <w:sz w:val="20"/>
                <w:szCs w:val="20"/>
              </w:rPr>
            </w:pPr>
            <w:r w:rsidRPr="009F5701">
              <w:rPr>
                <w:rFonts w:ascii="Verdana" w:hAnsi="Verdana" w:cs="Verdana"/>
                <w:b/>
                <w:bCs/>
                <w:color w:val="1F497D"/>
                <w:sz w:val="20"/>
                <w:szCs w:val="20"/>
              </w:rPr>
              <w:t>Echelle Territoriale</w:t>
            </w:r>
          </w:p>
          <w:p w14:paraId="4A7F87EE" w14:textId="31B614CD" w:rsidR="00611755" w:rsidRPr="009F5701" w:rsidRDefault="00611755" w:rsidP="00611755">
            <w:pPr>
              <w:pStyle w:val="TableContents"/>
              <w:spacing w:before="120" w:after="120"/>
              <w:ind w:left="71" w:right="-10"/>
              <w:rPr>
                <w:rFonts w:ascii="Verdana" w:hAnsi="Verdana" w:cs="Verdana"/>
                <w:bCs/>
                <w:i/>
                <w:color w:val="1F497D"/>
                <w:sz w:val="20"/>
                <w:szCs w:val="20"/>
              </w:rPr>
            </w:pPr>
          </w:p>
        </w:tc>
        <w:tc>
          <w:tcPr>
            <w:tcW w:w="8160" w:type="dxa"/>
            <w:shd w:val="clear" w:color="auto" w:fill="B8CCE4" w:themeFill="accent1" w:themeFillTint="66"/>
          </w:tcPr>
          <w:p w14:paraId="0FE18C4F" w14:textId="3042C847" w:rsidR="00843359" w:rsidRPr="009F5701" w:rsidRDefault="0A990934" w:rsidP="0009398D">
            <w:pPr>
              <w:pStyle w:val="TableContents"/>
              <w:spacing w:before="120" w:after="120"/>
              <w:jc w:val="both"/>
              <w:rPr>
                <w:rFonts w:ascii="Verdana" w:hAnsi="Verdana" w:cs="Arial"/>
                <w:i/>
                <w:color w:val="1F497D"/>
                <w:sz w:val="20"/>
                <w:szCs w:val="20"/>
              </w:rPr>
            </w:pPr>
            <w:r w:rsidRPr="009F5701">
              <w:rPr>
                <w:rFonts w:ascii="Verdana" w:eastAsia="Verdana,Arial" w:hAnsi="Verdana" w:cs="Verdana,Arial"/>
                <w:color w:val="1F497D" w:themeColor="text2"/>
                <w:sz w:val="20"/>
                <w:szCs w:val="20"/>
              </w:rPr>
              <w:t>Communes du Contrat de Ville</w:t>
            </w:r>
          </w:p>
          <w:p w14:paraId="4D152B71" w14:textId="4733F641" w:rsidR="00611755" w:rsidRPr="009F5701" w:rsidRDefault="0A990934" w:rsidP="0009398D">
            <w:pPr>
              <w:pStyle w:val="TableContents"/>
              <w:spacing w:before="120" w:after="120"/>
              <w:jc w:val="both"/>
              <w:rPr>
                <w:rFonts w:ascii="Verdana" w:hAnsi="Verdana" w:cs="Arial"/>
                <w:color w:val="1F497D"/>
                <w:sz w:val="20"/>
                <w:szCs w:val="20"/>
              </w:rPr>
            </w:pPr>
            <w:r w:rsidRPr="009F5701">
              <w:rPr>
                <w:rFonts w:ascii="Verdana" w:eastAsia="Verdana,Arial" w:hAnsi="Verdana" w:cs="Verdana,Arial"/>
                <w:color w:val="1F497D" w:themeColor="text2"/>
                <w:sz w:val="20"/>
                <w:szCs w:val="20"/>
              </w:rPr>
              <w:t>Quartiers prioritaires de la politique de la ville</w:t>
            </w:r>
          </w:p>
        </w:tc>
      </w:tr>
      <w:tr w:rsidR="00611755" w:rsidRPr="009F5701" w14:paraId="546C8DA8" w14:textId="77777777" w:rsidTr="0A990934">
        <w:tc>
          <w:tcPr>
            <w:tcW w:w="2670" w:type="dxa"/>
            <w:shd w:val="clear" w:color="auto" w:fill="B8CCE4" w:themeFill="accent1" w:themeFillTint="66"/>
          </w:tcPr>
          <w:p w14:paraId="086D59D5" w14:textId="234486F2" w:rsidR="00611755" w:rsidRPr="009F5701" w:rsidRDefault="00D87FB9" w:rsidP="009F5701">
            <w:pPr>
              <w:pStyle w:val="TableContents"/>
              <w:spacing w:before="120" w:after="120"/>
              <w:ind w:left="71" w:right="-10"/>
              <w:rPr>
                <w:rFonts w:ascii="Verdana" w:hAnsi="Verdana" w:cs="Verdana"/>
                <w:b/>
                <w:bCs/>
                <w:color w:val="1F497D"/>
                <w:sz w:val="20"/>
                <w:szCs w:val="20"/>
              </w:rPr>
            </w:pPr>
            <w:r w:rsidRPr="009F5701">
              <w:rPr>
                <w:rFonts w:ascii="Verdana" w:hAnsi="Verdana" w:cs="Verdana"/>
                <w:b/>
                <w:bCs/>
                <w:color w:val="1F497D"/>
                <w:sz w:val="20"/>
                <w:szCs w:val="20"/>
              </w:rPr>
              <w:t>Animateur</w:t>
            </w:r>
          </w:p>
        </w:tc>
        <w:tc>
          <w:tcPr>
            <w:tcW w:w="8160" w:type="dxa"/>
            <w:shd w:val="clear" w:color="auto" w:fill="B8CCE4" w:themeFill="accent1" w:themeFillTint="66"/>
          </w:tcPr>
          <w:p w14:paraId="26E1DE30" w14:textId="6C4CD0FA" w:rsidR="00611755" w:rsidRPr="009F5701" w:rsidRDefault="0A990934" w:rsidP="00611755">
            <w:pPr>
              <w:pStyle w:val="TableContents"/>
              <w:spacing w:before="120" w:after="120"/>
              <w:jc w:val="both"/>
              <w:rPr>
                <w:rFonts w:ascii="Verdana" w:hAnsi="Verdana" w:cs="Arial"/>
                <w:i/>
                <w:color w:val="1F497D"/>
                <w:sz w:val="20"/>
                <w:szCs w:val="20"/>
              </w:rPr>
            </w:pPr>
            <w:r w:rsidRPr="009F5701">
              <w:rPr>
                <w:rFonts w:ascii="Verdana" w:eastAsia="Verdana,Arial" w:hAnsi="Verdana" w:cs="Verdana,Arial"/>
                <w:color w:val="1F497D" w:themeColor="text2"/>
                <w:sz w:val="20"/>
                <w:szCs w:val="20"/>
              </w:rPr>
              <w:t>Tour(s)plus</w:t>
            </w:r>
          </w:p>
        </w:tc>
      </w:tr>
      <w:tr w:rsidR="00611755" w:rsidRPr="009F5701" w14:paraId="7F6252D2" w14:textId="77777777" w:rsidTr="0A990934">
        <w:trPr>
          <w:trHeight w:val="95"/>
        </w:trPr>
        <w:tc>
          <w:tcPr>
            <w:tcW w:w="2670" w:type="dxa"/>
            <w:shd w:val="clear" w:color="auto" w:fill="B8CCE4" w:themeFill="accent1" w:themeFillTint="66"/>
          </w:tcPr>
          <w:p w14:paraId="2FA478F1" w14:textId="77777777" w:rsidR="00611755" w:rsidRPr="009F5701" w:rsidRDefault="00611755" w:rsidP="00611755">
            <w:pPr>
              <w:pStyle w:val="TableContents"/>
              <w:spacing w:before="120" w:after="120"/>
              <w:ind w:left="71" w:right="-10"/>
              <w:rPr>
                <w:rFonts w:ascii="Verdana" w:hAnsi="Verdana" w:cs="Verdana"/>
                <w:b/>
                <w:bCs/>
                <w:color w:val="1F497D"/>
                <w:sz w:val="20"/>
                <w:szCs w:val="20"/>
              </w:rPr>
            </w:pPr>
            <w:r w:rsidRPr="009F5701">
              <w:rPr>
                <w:rFonts w:ascii="Verdana" w:hAnsi="Verdana" w:cs="Verdana"/>
                <w:b/>
                <w:bCs/>
                <w:color w:val="1F497D"/>
                <w:sz w:val="20"/>
                <w:szCs w:val="20"/>
              </w:rPr>
              <w:t xml:space="preserve">Partenaires </w:t>
            </w:r>
            <w:r w:rsidRPr="009F5701">
              <w:rPr>
                <w:rFonts w:ascii="Verdana" w:hAnsi="Verdana" w:cs="Verdana"/>
                <w:b/>
                <w:bCs/>
                <w:color w:val="1F497D"/>
                <w:sz w:val="20"/>
                <w:szCs w:val="20"/>
              </w:rPr>
              <w:lastRenderedPageBreak/>
              <w:t>mobilisables (dont habitants)</w:t>
            </w:r>
          </w:p>
          <w:p w14:paraId="6059F264" w14:textId="77777777" w:rsidR="00611755" w:rsidRPr="009F5701" w:rsidRDefault="00611755" w:rsidP="00611755">
            <w:pPr>
              <w:pStyle w:val="TableContents"/>
              <w:spacing w:before="120" w:after="120"/>
              <w:ind w:left="71" w:right="-10"/>
              <w:rPr>
                <w:rFonts w:ascii="Verdana" w:hAnsi="Verdana" w:cs="Verdana"/>
                <w:b/>
                <w:bCs/>
                <w:color w:val="1F497D"/>
                <w:sz w:val="20"/>
                <w:szCs w:val="20"/>
              </w:rPr>
            </w:pPr>
            <w:r w:rsidRPr="009F5701">
              <w:rPr>
                <w:rFonts w:ascii="Verdana" w:hAnsi="Verdana" w:cs="Verdana"/>
                <w:b/>
                <w:bCs/>
                <w:color w:val="1F497D"/>
                <w:sz w:val="20"/>
                <w:szCs w:val="20"/>
              </w:rPr>
              <w:t>Dispositifs mobilisables</w:t>
            </w:r>
          </w:p>
          <w:p w14:paraId="375E8911" w14:textId="33901554" w:rsidR="00611755" w:rsidRPr="009F5701" w:rsidRDefault="00611755" w:rsidP="009F5701">
            <w:pPr>
              <w:pStyle w:val="TableContents"/>
              <w:spacing w:before="120" w:after="120"/>
              <w:ind w:right="-10"/>
              <w:rPr>
                <w:rFonts w:ascii="Verdana" w:hAnsi="Verdana" w:cs="Verdana"/>
                <w:bCs/>
                <w:i/>
                <w:color w:val="1F497D"/>
                <w:sz w:val="20"/>
                <w:szCs w:val="20"/>
              </w:rPr>
            </w:pPr>
          </w:p>
        </w:tc>
        <w:tc>
          <w:tcPr>
            <w:tcW w:w="8160" w:type="dxa"/>
            <w:shd w:val="clear" w:color="auto" w:fill="B8CCE4" w:themeFill="accent1" w:themeFillTint="66"/>
          </w:tcPr>
          <w:p w14:paraId="442AD8F7" w14:textId="1AF7DE3B" w:rsidR="009542D5" w:rsidRPr="009F5701" w:rsidRDefault="0A990934" w:rsidP="0009398D">
            <w:pPr>
              <w:tabs>
                <w:tab w:val="left" w:pos="1440"/>
              </w:tabs>
              <w:spacing w:before="120" w:after="120"/>
              <w:jc w:val="both"/>
              <w:rPr>
                <w:rFonts w:ascii="Verdana" w:hAnsi="Verdana" w:cs="Arial"/>
                <w:i/>
                <w:color w:val="1F497D"/>
                <w:sz w:val="20"/>
                <w:szCs w:val="20"/>
              </w:rPr>
            </w:pPr>
            <w:r w:rsidRPr="009F5701">
              <w:rPr>
                <w:rFonts w:ascii="Verdana" w:eastAsia="Verdana,Arial" w:hAnsi="Verdana" w:cs="Verdana,Arial"/>
                <w:color w:val="1F497D" w:themeColor="text2"/>
                <w:sz w:val="20"/>
                <w:szCs w:val="20"/>
              </w:rPr>
              <w:lastRenderedPageBreak/>
              <w:t>Etat, villes, Département, bailleurs sociaux, collecteurs du 1% logement</w:t>
            </w:r>
          </w:p>
          <w:p w14:paraId="29618A65" w14:textId="53D07CBC" w:rsidR="0A990934" w:rsidRPr="009F5701" w:rsidRDefault="0A990934" w:rsidP="0A990934">
            <w:pPr>
              <w:spacing w:before="120" w:after="120"/>
              <w:jc w:val="both"/>
              <w:rPr>
                <w:rFonts w:ascii="Verdana" w:hAnsi="Verdana"/>
                <w:sz w:val="20"/>
                <w:szCs w:val="20"/>
              </w:rPr>
            </w:pPr>
          </w:p>
          <w:p w14:paraId="0B7E2FF9" w14:textId="4FAC2E9D" w:rsidR="0A990934" w:rsidRPr="009F5701" w:rsidRDefault="0A990934" w:rsidP="0A990934">
            <w:pPr>
              <w:spacing w:before="120" w:after="120"/>
              <w:jc w:val="both"/>
              <w:rPr>
                <w:rFonts w:ascii="Verdana" w:hAnsi="Verdana"/>
                <w:sz w:val="20"/>
                <w:szCs w:val="20"/>
              </w:rPr>
            </w:pPr>
            <w:r w:rsidRPr="009F5701">
              <w:rPr>
                <w:rFonts w:ascii="Verdana" w:eastAsia="Verdana,Arial" w:hAnsi="Verdana" w:cs="Verdana,Arial"/>
                <w:color w:val="1F497D" w:themeColor="text2"/>
                <w:sz w:val="20"/>
                <w:szCs w:val="20"/>
              </w:rPr>
              <w:t>Dispositifs :</w:t>
            </w:r>
          </w:p>
          <w:p w14:paraId="64EB0515" w14:textId="58241C69" w:rsidR="009542D5" w:rsidRPr="009F5701" w:rsidRDefault="0A990934" w:rsidP="0009398D">
            <w:pPr>
              <w:tabs>
                <w:tab w:val="left" w:pos="1440"/>
              </w:tabs>
              <w:spacing w:before="120" w:after="120"/>
              <w:jc w:val="both"/>
              <w:rPr>
                <w:rFonts w:ascii="Verdana" w:hAnsi="Verdana" w:cs="Arial"/>
                <w:i/>
                <w:color w:val="1F497D"/>
                <w:sz w:val="20"/>
                <w:szCs w:val="20"/>
              </w:rPr>
            </w:pPr>
            <w:r w:rsidRPr="009F5701">
              <w:rPr>
                <w:rFonts w:ascii="Verdana" w:eastAsia="Verdana,Arial" w:hAnsi="Verdana" w:cs="Verdana,Arial"/>
                <w:color w:val="1F497D" w:themeColor="text2"/>
                <w:sz w:val="20"/>
                <w:szCs w:val="20"/>
              </w:rPr>
              <w:t>PLH, ACI, convention intercommunale de mixité sociale, fichier partagé de la demande HLM, PPGD, PDALPD</w:t>
            </w:r>
          </w:p>
          <w:p w14:paraId="7D2FF41F" w14:textId="77777777" w:rsidR="00611755" w:rsidRPr="009F5701" w:rsidRDefault="00611755" w:rsidP="0009398D">
            <w:pPr>
              <w:tabs>
                <w:tab w:val="left" w:pos="1440"/>
              </w:tabs>
              <w:spacing w:before="120" w:after="120"/>
              <w:jc w:val="both"/>
              <w:rPr>
                <w:rFonts w:ascii="Verdana" w:hAnsi="Verdana" w:cs="Arial"/>
                <w:color w:val="1F497D"/>
                <w:sz w:val="20"/>
                <w:szCs w:val="20"/>
              </w:rPr>
            </w:pPr>
          </w:p>
        </w:tc>
      </w:tr>
      <w:tr w:rsidR="00611755" w:rsidRPr="009F5701" w14:paraId="58BF2E88" w14:textId="77777777" w:rsidTr="0A990934">
        <w:tc>
          <w:tcPr>
            <w:tcW w:w="2670" w:type="dxa"/>
            <w:shd w:val="clear" w:color="auto" w:fill="B8CCE4" w:themeFill="accent1" w:themeFillTint="66"/>
          </w:tcPr>
          <w:p w14:paraId="5444789D" w14:textId="4B413D1B" w:rsidR="00611755" w:rsidRPr="009F5701" w:rsidRDefault="00611755" w:rsidP="009F5701">
            <w:pPr>
              <w:pStyle w:val="TableContents"/>
              <w:spacing w:before="120" w:after="120"/>
              <w:ind w:left="71" w:right="-10"/>
              <w:rPr>
                <w:rFonts w:ascii="Verdana" w:hAnsi="Verdana" w:cs="Verdana"/>
                <w:b/>
                <w:bCs/>
                <w:color w:val="1F497D"/>
                <w:sz w:val="20"/>
                <w:szCs w:val="20"/>
              </w:rPr>
            </w:pPr>
            <w:r w:rsidRPr="009F5701">
              <w:rPr>
                <w:rFonts w:ascii="Verdana" w:hAnsi="Verdana" w:cs="Verdana"/>
                <w:b/>
                <w:bCs/>
                <w:color w:val="1F497D"/>
                <w:sz w:val="20"/>
                <w:szCs w:val="20"/>
              </w:rPr>
              <w:lastRenderedPageBreak/>
              <w:t>Financements mobilisables</w:t>
            </w:r>
          </w:p>
        </w:tc>
        <w:tc>
          <w:tcPr>
            <w:tcW w:w="8160" w:type="dxa"/>
            <w:shd w:val="clear" w:color="auto" w:fill="B8CCE4" w:themeFill="accent1" w:themeFillTint="66"/>
          </w:tcPr>
          <w:p w14:paraId="153EC42C" w14:textId="75F740C2" w:rsidR="00611755" w:rsidRPr="009F5701" w:rsidRDefault="0A990934" w:rsidP="0009398D">
            <w:pPr>
              <w:pStyle w:val="TableContents"/>
              <w:spacing w:before="120" w:after="120"/>
              <w:jc w:val="both"/>
              <w:rPr>
                <w:rFonts w:ascii="Verdana" w:hAnsi="Verdana" w:cs="Arial"/>
                <w:i/>
                <w:color w:val="1F497D"/>
                <w:sz w:val="20"/>
                <w:szCs w:val="20"/>
              </w:rPr>
            </w:pPr>
            <w:r w:rsidRPr="009F5701">
              <w:rPr>
                <w:rFonts w:ascii="Verdana" w:eastAsia="Verdana,Arial" w:hAnsi="Verdana" w:cs="Verdana,Arial"/>
                <w:color w:val="1F497D" w:themeColor="text2"/>
                <w:sz w:val="20"/>
                <w:szCs w:val="20"/>
              </w:rPr>
              <w:t>Aide de Tour(s)plus à la vacance volontaire</w:t>
            </w:r>
          </w:p>
        </w:tc>
      </w:tr>
      <w:tr w:rsidR="001A0EE7" w:rsidRPr="009F5701" w14:paraId="3F6B1067" w14:textId="77777777" w:rsidTr="0A990934">
        <w:trPr>
          <w:trHeight w:val="272"/>
        </w:trPr>
        <w:tc>
          <w:tcPr>
            <w:tcW w:w="2670" w:type="dxa"/>
            <w:shd w:val="clear" w:color="auto" w:fill="B8CCE4" w:themeFill="accent1" w:themeFillTint="66"/>
          </w:tcPr>
          <w:p w14:paraId="33DF7B7E" w14:textId="7E315802" w:rsidR="001A0EE7" w:rsidRPr="009F5701" w:rsidRDefault="001A0EE7" w:rsidP="009F5701">
            <w:pPr>
              <w:pStyle w:val="TableContents"/>
              <w:spacing w:before="120" w:after="120"/>
              <w:ind w:left="71" w:right="-10"/>
              <w:rPr>
                <w:rFonts w:ascii="Verdana" w:hAnsi="Verdana" w:cs="Verdana"/>
                <w:b/>
                <w:bCs/>
                <w:color w:val="1F497D"/>
                <w:sz w:val="20"/>
                <w:szCs w:val="20"/>
              </w:rPr>
            </w:pPr>
            <w:r w:rsidRPr="009F5701">
              <w:rPr>
                <w:rFonts w:ascii="Verdana" w:hAnsi="Verdana" w:cs="Verdana"/>
                <w:b/>
                <w:bCs/>
                <w:color w:val="1F497D"/>
                <w:sz w:val="20"/>
                <w:szCs w:val="20"/>
              </w:rPr>
              <w:t>Calendrier</w:t>
            </w:r>
          </w:p>
        </w:tc>
        <w:tc>
          <w:tcPr>
            <w:tcW w:w="8160" w:type="dxa"/>
            <w:shd w:val="clear" w:color="auto" w:fill="B8CCE4" w:themeFill="accent1" w:themeFillTint="66"/>
          </w:tcPr>
          <w:p w14:paraId="0BE3B46B" w14:textId="3BC02DD8" w:rsidR="001A0EE7" w:rsidRPr="009F5701" w:rsidRDefault="0A990934" w:rsidP="0009398D">
            <w:pPr>
              <w:pStyle w:val="TableContents"/>
              <w:spacing w:before="120" w:after="120"/>
              <w:jc w:val="both"/>
              <w:rPr>
                <w:rFonts w:ascii="Verdana" w:hAnsi="Verdana" w:cs="Arial"/>
                <w:i/>
                <w:color w:val="1F497D"/>
                <w:sz w:val="20"/>
                <w:szCs w:val="20"/>
              </w:rPr>
            </w:pPr>
            <w:r w:rsidRPr="009F5701">
              <w:rPr>
                <w:rFonts w:ascii="Verdana" w:eastAsia="Verdana,Arial" w:hAnsi="Verdana" w:cs="Verdana,Arial"/>
                <w:color w:val="1F497D" w:themeColor="text2"/>
                <w:sz w:val="20"/>
                <w:szCs w:val="20"/>
              </w:rPr>
              <w:t>2015 et suivants</w:t>
            </w:r>
          </w:p>
        </w:tc>
      </w:tr>
      <w:tr w:rsidR="001A0EE7" w:rsidRPr="009F5701" w14:paraId="41094B9E" w14:textId="77777777" w:rsidTr="0A990934">
        <w:tc>
          <w:tcPr>
            <w:tcW w:w="2670" w:type="dxa"/>
            <w:shd w:val="clear" w:color="auto" w:fill="B8CCE4" w:themeFill="accent1" w:themeFillTint="66"/>
          </w:tcPr>
          <w:p w14:paraId="7CCA3E5E" w14:textId="77777777" w:rsidR="001A0EE7" w:rsidRPr="009F5701" w:rsidRDefault="001A0EE7" w:rsidP="005F0153">
            <w:pPr>
              <w:pStyle w:val="TableContents"/>
              <w:spacing w:before="120" w:after="120"/>
              <w:ind w:left="71" w:right="-10"/>
              <w:rPr>
                <w:rFonts w:ascii="Verdana" w:hAnsi="Verdana" w:cs="Verdana"/>
                <w:b/>
                <w:bCs/>
                <w:color w:val="1F497D"/>
                <w:sz w:val="20"/>
                <w:szCs w:val="20"/>
              </w:rPr>
            </w:pPr>
            <w:r w:rsidRPr="009F5701">
              <w:rPr>
                <w:rFonts w:ascii="Verdana" w:hAnsi="Verdana" w:cs="Verdana"/>
                <w:b/>
                <w:bCs/>
                <w:color w:val="1F497D"/>
                <w:sz w:val="20"/>
                <w:szCs w:val="20"/>
              </w:rPr>
              <w:t>indicateurs de réalisation</w:t>
            </w:r>
          </w:p>
          <w:p w14:paraId="484E4E1F" w14:textId="591A74B9" w:rsidR="001A0EE7" w:rsidRPr="009F5701" w:rsidRDefault="001A0EE7" w:rsidP="00D87FB9">
            <w:pPr>
              <w:pStyle w:val="TableContents"/>
              <w:spacing w:before="120" w:after="120"/>
              <w:ind w:left="71" w:right="-10"/>
              <w:rPr>
                <w:rFonts w:ascii="Verdana" w:hAnsi="Verdana" w:cs="Verdana"/>
                <w:b/>
                <w:bCs/>
                <w:color w:val="1F497D"/>
                <w:sz w:val="20"/>
                <w:szCs w:val="20"/>
              </w:rPr>
            </w:pPr>
          </w:p>
        </w:tc>
        <w:tc>
          <w:tcPr>
            <w:tcW w:w="8160" w:type="dxa"/>
            <w:shd w:val="clear" w:color="auto" w:fill="B8CCE4" w:themeFill="accent1" w:themeFillTint="66"/>
          </w:tcPr>
          <w:p w14:paraId="585053B4" w14:textId="306A8CC3" w:rsidR="001A0EE7" w:rsidRPr="009F5701" w:rsidRDefault="0A990934" w:rsidP="0009398D">
            <w:pPr>
              <w:spacing w:before="120" w:after="120"/>
              <w:jc w:val="both"/>
              <w:rPr>
                <w:rFonts w:ascii="Verdana" w:hAnsi="Verdana" w:cs="Arial"/>
                <w:i/>
                <w:color w:val="1F497D"/>
                <w:sz w:val="20"/>
                <w:szCs w:val="20"/>
              </w:rPr>
            </w:pPr>
            <w:r w:rsidRPr="009F5701">
              <w:rPr>
                <w:rFonts w:ascii="Verdana" w:eastAsia="Verdana,Arial" w:hAnsi="Verdana" w:cs="Verdana,Arial"/>
                <w:color w:val="1F497D" w:themeColor="text2"/>
                <w:sz w:val="20"/>
                <w:szCs w:val="20"/>
              </w:rPr>
              <w:t>Montant d’exonération de surloyers</w:t>
            </w:r>
          </w:p>
          <w:p w14:paraId="6341D2B9" w14:textId="24E65734" w:rsidR="002F54CC" w:rsidRPr="009F5701" w:rsidRDefault="0A990934" w:rsidP="0009398D">
            <w:pPr>
              <w:spacing w:before="120" w:after="120"/>
              <w:jc w:val="both"/>
              <w:rPr>
                <w:rFonts w:ascii="Verdana" w:hAnsi="Verdana" w:cs="Arial"/>
                <w:i/>
                <w:color w:val="1F497D"/>
                <w:sz w:val="20"/>
                <w:szCs w:val="20"/>
              </w:rPr>
            </w:pPr>
            <w:r w:rsidRPr="009F5701">
              <w:rPr>
                <w:rFonts w:ascii="Verdana" w:eastAsia="Verdana,Arial" w:hAnsi="Verdana" w:cs="Verdana,Arial"/>
                <w:color w:val="1F497D" w:themeColor="text2"/>
                <w:sz w:val="20"/>
                <w:szCs w:val="20"/>
              </w:rPr>
              <w:t xml:space="preserve">Nombre d’entrants dépassant les plafonds de ressources HLM </w:t>
            </w:r>
          </w:p>
          <w:p w14:paraId="65C9A57D" w14:textId="7A38F763" w:rsidR="00AE7184" w:rsidRPr="009F5701" w:rsidRDefault="0A990934" w:rsidP="0009398D">
            <w:pPr>
              <w:spacing w:before="120" w:after="120"/>
              <w:jc w:val="both"/>
              <w:rPr>
                <w:rFonts w:ascii="Verdana" w:hAnsi="Verdana" w:cs="Arial"/>
                <w:i/>
                <w:color w:val="1F497D"/>
                <w:sz w:val="20"/>
                <w:szCs w:val="20"/>
              </w:rPr>
            </w:pPr>
            <w:r w:rsidRPr="009F5701">
              <w:rPr>
                <w:rFonts w:ascii="Verdana" w:eastAsia="Verdana,Arial" w:hAnsi="Verdana" w:cs="Verdana,Arial"/>
                <w:color w:val="1F497D" w:themeColor="text2"/>
                <w:sz w:val="20"/>
                <w:szCs w:val="20"/>
              </w:rPr>
              <w:t>Nombre de logements vacants financés par Tour(s)plus</w:t>
            </w:r>
          </w:p>
          <w:p w14:paraId="45AA6B1E" w14:textId="47F15AEB" w:rsidR="00AE7184" w:rsidRPr="009F5701" w:rsidRDefault="0A990934" w:rsidP="003B1280">
            <w:pPr>
              <w:spacing w:before="120" w:after="120"/>
              <w:jc w:val="both"/>
              <w:rPr>
                <w:rFonts w:ascii="Verdana" w:hAnsi="Verdana" w:cs="Arial"/>
                <w:i/>
                <w:color w:val="1F497D"/>
                <w:sz w:val="20"/>
                <w:szCs w:val="20"/>
              </w:rPr>
            </w:pPr>
            <w:r w:rsidRPr="009F5701">
              <w:rPr>
                <w:rFonts w:ascii="Verdana" w:eastAsia="Verdana,Arial" w:hAnsi="Verdana" w:cs="Verdana,Arial"/>
                <w:color w:val="1F497D" w:themeColor="text2"/>
                <w:sz w:val="20"/>
                <w:szCs w:val="20"/>
              </w:rPr>
              <w:t>Nombre de remises à disposition de logements Etat et collecteurs du 1% logement</w:t>
            </w:r>
          </w:p>
        </w:tc>
      </w:tr>
      <w:tr w:rsidR="001A0EE7" w:rsidRPr="009F5701" w14:paraId="4957CE8C" w14:textId="77777777" w:rsidTr="0A990934">
        <w:tc>
          <w:tcPr>
            <w:tcW w:w="2670" w:type="dxa"/>
            <w:shd w:val="clear" w:color="auto" w:fill="B8CCE4" w:themeFill="accent1" w:themeFillTint="66"/>
          </w:tcPr>
          <w:p w14:paraId="23E8A858" w14:textId="614CEDE9" w:rsidR="001A0EE7" w:rsidRPr="009F5701" w:rsidRDefault="001A0EE7" w:rsidP="009F5701">
            <w:pPr>
              <w:pStyle w:val="TableContents"/>
              <w:spacing w:before="120" w:after="120"/>
              <w:ind w:left="71" w:right="-10"/>
              <w:rPr>
                <w:rFonts w:ascii="Verdana" w:hAnsi="Verdana" w:cs="Verdana"/>
                <w:b/>
                <w:bCs/>
                <w:color w:val="1F497D"/>
                <w:sz w:val="20"/>
                <w:szCs w:val="20"/>
              </w:rPr>
            </w:pPr>
            <w:r w:rsidRPr="009F5701">
              <w:rPr>
                <w:rFonts w:ascii="Verdana" w:hAnsi="Verdana" w:cs="Verdana"/>
                <w:b/>
                <w:bCs/>
                <w:color w:val="1F497D"/>
                <w:sz w:val="20"/>
                <w:szCs w:val="20"/>
              </w:rPr>
              <w:t>Indicateurs d’effets</w:t>
            </w:r>
          </w:p>
        </w:tc>
        <w:tc>
          <w:tcPr>
            <w:tcW w:w="8160" w:type="dxa"/>
            <w:shd w:val="clear" w:color="auto" w:fill="B8CCE4" w:themeFill="accent1" w:themeFillTint="66"/>
          </w:tcPr>
          <w:p w14:paraId="39A751D1" w14:textId="77777777" w:rsidR="001A0EE7" w:rsidRPr="009F5701" w:rsidRDefault="001A0EE7" w:rsidP="00611755">
            <w:pPr>
              <w:spacing w:before="120" w:after="120"/>
              <w:jc w:val="both"/>
              <w:rPr>
                <w:rFonts w:ascii="Verdana" w:hAnsi="Verdana" w:cs="Arial"/>
                <w:color w:val="1F497D"/>
                <w:sz w:val="20"/>
                <w:szCs w:val="20"/>
              </w:rPr>
            </w:pPr>
          </w:p>
        </w:tc>
      </w:tr>
      <w:tr w:rsidR="001A0EE7" w:rsidRPr="009F5701" w14:paraId="1E79D2F0" w14:textId="77777777" w:rsidTr="0A990934">
        <w:tc>
          <w:tcPr>
            <w:tcW w:w="2670" w:type="dxa"/>
            <w:shd w:val="clear" w:color="auto" w:fill="B8CCE4" w:themeFill="accent1" w:themeFillTint="66"/>
          </w:tcPr>
          <w:p w14:paraId="21AB41A3" w14:textId="77777777" w:rsidR="001A0EE7" w:rsidRPr="009F5701" w:rsidRDefault="001A0EE7" w:rsidP="00611755">
            <w:pPr>
              <w:pStyle w:val="TableContents"/>
              <w:spacing w:before="120" w:after="120"/>
              <w:ind w:left="71" w:right="-10"/>
              <w:rPr>
                <w:rFonts w:ascii="Verdana" w:hAnsi="Verdana" w:cs="Verdana"/>
                <w:b/>
                <w:bCs/>
                <w:color w:val="1F497D"/>
                <w:sz w:val="20"/>
                <w:szCs w:val="20"/>
              </w:rPr>
            </w:pPr>
            <w:r w:rsidRPr="009F5701">
              <w:rPr>
                <w:rFonts w:ascii="Verdana" w:hAnsi="Verdana" w:cs="Verdana"/>
                <w:b/>
                <w:bCs/>
                <w:color w:val="1F497D"/>
                <w:sz w:val="20"/>
                <w:szCs w:val="20"/>
              </w:rPr>
              <w:t>Liens autres enjeux / fiches « orientations opérationnelles »</w:t>
            </w:r>
          </w:p>
        </w:tc>
        <w:tc>
          <w:tcPr>
            <w:tcW w:w="8160" w:type="dxa"/>
            <w:shd w:val="clear" w:color="auto" w:fill="B8CCE4" w:themeFill="accent1" w:themeFillTint="66"/>
          </w:tcPr>
          <w:p w14:paraId="6FA2C9AD" w14:textId="32728F9B" w:rsidR="001A0EE7" w:rsidRPr="009F5701" w:rsidRDefault="0A990934" w:rsidP="00611755">
            <w:pPr>
              <w:spacing w:before="120" w:after="120"/>
              <w:jc w:val="both"/>
              <w:rPr>
                <w:rFonts w:ascii="Verdana" w:hAnsi="Verdana" w:cs="Arial"/>
                <w:i/>
                <w:color w:val="1F497D" w:themeColor="text2"/>
                <w:sz w:val="20"/>
                <w:szCs w:val="20"/>
              </w:rPr>
            </w:pPr>
            <w:r w:rsidRPr="009F5701">
              <w:rPr>
                <w:rFonts w:ascii="Verdana" w:eastAsia="Verdana,Arial" w:hAnsi="Verdana" w:cs="Verdana,Arial"/>
                <w:color w:val="1F497D" w:themeColor="text2"/>
                <w:sz w:val="20"/>
                <w:szCs w:val="20"/>
              </w:rPr>
              <w:t>AT jeunesse</w:t>
            </w:r>
          </w:p>
          <w:p w14:paraId="795E2ED6" w14:textId="3559AFA3" w:rsidR="001A0EE7" w:rsidRPr="009F5701" w:rsidRDefault="0A990934" w:rsidP="00CB2BE3">
            <w:pPr>
              <w:spacing w:before="120" w:after="120"/>
              <w:jc w:val="both"/>
              <w:rPr>
                <w:rFonts w:ascii="Verdana" w:hAnsi="Verdana" w:cs="Arial"/>
                <w:i/>
                <w:color w:val="1F497D"/>
                <w:sz w:val="20"/>
                <w:szCs w:val="20"/>
              </w:rPr>
            </w:pPr>
            <w:r w:rsidRPr="009F5701">
              <w:rPr>
                <w:rFonts w:ascii="Verdana" w:eastAsia="Verdana,Arial" w:hAnsi="Verdana" w:cs="Verdana,Arial"/>
                <w:color w:val="1F497D" w:themeColor="text2"/>
                <w:sz w:val="20"/>
                <w:szCs w:val="20"/>
              </w:rPr>
              <w:t>Poursuivre les efforts de répartition territoriale de l’accueil des ménages les plus démunis</w:t>
            </w:r>
          </w:p>
          <w:p w14:paraId="61575F9E" w14:textId="4712D7BD" w:rsidR="001A0EE7" w:rsidRPr="009F5701" w:rsidRDefault="0A990934" w:rsidP="00CB2BE3">
            <w:pPr>
              <w:spacing w:before="120" w:after="120"/>
              <w:jc w:val="both"/>
              <w:rPr>
                <w:rFonts w:ascii="Verdana" w:hAnsi="Verdana" w:cs="Arial"/>
                <w:i/>
                <w:color w:val="1F497D"/>
                <w:sz w:val="20"/>
                <w:szCs w:val="20"/>
              </w:rPr>
            </w:pPr>
            <w:r w:rsidRPr="009F5701">
              <w:rPr>
                <w:rFonts w:ascii="Verdana" w:eastAsia="Verdana,Arial" w:hAnsi="Verdana" w:cs="Verdana,Arial"/>
                <w:color w:val="1F497D" w:themeColor="text2"/>
                <w:sz w:val="20"/>
                <w:szCs w:val="20"/>
              </w:rPr>
              <w:t>Améliorer la gestion des mutations pour fluidifier la mobilité interne et optimiser l’occupation du parc social</w:t>
            </w:r>
          </w:p>
          <w:p w14:paraId="72380A0C" w14:textId="45F5C6D5" w:rsidR="00E208FB" w:rsidRPr="009F5701" w:rsidRDefault="0A990934" w:rsidP="00CB2BE3">
            <w:pPr>
              <w:spacing w:before="120" w:after="120"/>
              <w:jc w:val="both"/>
              <w:rPr>
                <w:rFonts w:ascii="Verdana" w:hAnsi="Verdana" w:cs="Arial"/>
                <w:color w:val="1F497D"/>
                <w:sz w:val="20"/>
                <w:szCs w:val="20"/>
              </w:rPr>
            </w:pPr>
            <w:r w:rsidRPr="009F5701">
              <w:rPr>
                <w:rFonts w:ascii="Verdana" w:eastAsia="Verdana,Arial" w:hAnsi="Verdana" w:cs="Verdana,Arial"/>
                <w:color w:val="1F497D" w:themeColor="text2"/>
                <w:sz w:val="20"/>
                <w:szCs w:val="20"/>
              </w:rPr>
              <w:t>Se doter des moyens adaptés d’observation et de suivi du peuplement des quartiers du contrat de ville</w:t>
            </w:r>
          </w:p>
        </w:tc>
      </w:tr>
    </w:tbl>
    <w:p w14:paraId="73B2D228" w14:textId="77777777" w:rsidR="008D0202" w:rsidRDefault="008D0202">
      <w:pPr>
        <w:widowControl/>
        <w:suppressAutoHyphens w:val="0"/>
        <w:textAlignment w:val="auto"/>
        <w:rPr>
          <w:rFonts w:ascii="Verdana" w:hAnsi="Verdana" w:cs="Verdana"/>
          <w:b/>
          <w:bCs/>
          <w:color w:val="FFFFFF"/>
          <w:sz w:val="28"/>
          <w:szCs w:val="28"/>
        </w:rPr>
      </w:pPr>
    </w:p>
    <w:sectPr w:rsidR="008D0202" w:rsidSect="00A433C2">
      <w:footerReference w:type="default" r:id="rId11"/>
      <w:pgSz w:w="11906" w:h="16838" w:code="9"/>
      <w:pgMar w:top="454" w:right="567" w:bottom="737" w:left="567"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A43D9E" w14:textId="77777777" w:rsidR="0082148C" w:rsidRDefault="0082148C" w:rsidP="00A03715">
      <w:pPr>
        <w:pStyle w:val="TableContents"/>
      </w:pPr>
      <w:r>
        <w:separator/>
      </w:r>
    </w:p>
  </w:endnote>
  <w:endnote w:type="continuationSeparator" w:id="0">
    <w:p w14:paraId="0404C8D8" w14:textId="77777777" w:rsidR="0082148C" w:rsidRDefault="0082148C" w:rsidP="00A03715">
      <w:pPr>
        <w:pStyle w:val="TableContents"/>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Verdana,Arial">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8C67C9" w14:textId="77777777" w:rsidR="00652F55" w:rsidRDefault="00652F55" w:rsidP="00973B15">
    <w:pPr>
      <w:pStyle w:val="Pieddepage"/>
      <w:widowControl/>
      <w:jc w:val="right"/>
      <w:rPr>
        <w:rFonts w:ascii="Verdana" w:hAnsi="Verdana" w:cs="Verdana"/>
        <w:sz w:val="16"/>
        <w:szCs w:val="16"/>
      </w:rPr>
    </w:pPr>
    <w:r>
      <w:rPr>
        <w:rFonts w:ascii="Verdana" w:hAnsi="Verdana" w:cs="Verdana"/>
        <w:sz w:val="16"/>
        <w:szCs w:val="16"/>
      </w:rPr>
      <w:t>Contrat de ville</w:t>
    </w:r>
  </w:p>
  <w:p w14:paraId="7A6CC4CB" w14:textId="77777777" w:rsidR="00652F55" w:rsidRDefault="00652F55" w:rsidP="00973B15">
    <w:pPr>
      <w:pStyle w:val="Pieddepage"/>
      <w:widowControl/>
      <w:jc w:val="right"/>
    </w:pPr>
    <w:r>
      <w:rPr>
        <w:rFonts w:ascii="Verdana" w:hAnsi="Verdana" w:cs="Verdana"/>
        <w:sz w:val="16"/>
        <w:szCs w:val="16"/>
      </w:rPr>
      <w:t xml:space="preserve">Fiche </w:t>
    </w:r>
    <w:r w:rsidR="00D87FB9">
      <w:rPr>
        <w:rFonts w:ascii="Verdana" w:hAnsi="Verdana" w:cs="Verdana"/>
        <w:sz w:val="16"/>
        <w:szCs w:val="16"/>
      </w:rPr>
      <w:t>orientation opérationnelle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AC9421" w14:textId="77777777" w:rsidR="0082148C" w:rsidRDefault="0082148C" w:rsidP="00A03715">
      <w:pPr>
        <w:pStyle w:val="TableContents"/>
      </w:pPr>
      <w:r>
        <w:separator/>
      </w:r>
    </w:p>
  </w:footnote>
  <w:footnote w:type="continuationSeparator" w:id="0">
    <w:p w14:paraId="3000A2D6" w14:textId="77777777" w:rsidR="0082148C" w:rsidRDefault="0082148C" w:rsidP="00A03715">
      <w:pPr>
        <w:pStyle w:val="TableContents"/>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654AF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none"/>
      <w:pStyle w:val="Titre1"/>
      <w:suff w:val="nothing"/>
      <w:lvlText w:val=""/>
      <w:lvlJc w:val="left"/>
      <w:pPr>
        <w:tabs>
          <w:tab w:val="num" w:pos="432"/>
        </w:tabs>
        <w:ind w:left="432" w:hanging="432"/>
      </w:pPr>
    </w:lvl>
    <w:lvl w:ilvl="1">
      <w:start w:val="1"/>
      <w:numFmt w:val="none"/>
      <w:pStyle w:val="Titre2"/>
      <w:suff w:val="nothing"/>
      <w:lvlText w:val=""/>
      <w:lvlJc w:val="left"/>
      <w:pPr>
        <w:tabs>
          <w:tab w:val="num" w:pos="576"/>
        </w:tabs>
        <w:ind w:left="576" w:hanging="576"/>
      </w:pPr>
    </w:lvl>
    <w:lvl w:ilvl="2">
      <w:start w:val="1"/>
      <w:numFmt w:val="none"/>
      <w:pStyle w:val="Titre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6"/>
    <w:multiLevelType w:val="multilevel"/>
    <w:tmpl w:val="00000006"/>
    <w:name w:val="WW8Num6"/>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4">
    <w:nsid w:val="00F317C3"/>
    <w:multiLevelType w:val="hybridMultilevel"/>
    <w:tmpl w:val="6DEA123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nsid w:val="141E7A89"/>
    <w:multiLevelType w:val="hybridMultilevel"/>
    <w:tmpl w:val="4098860C"/>
    <w:lvl w:ilvl="0" w:tplc="F5707474">
      <w:start w:val="1"/>
      <w:numFmt w:val="bullet"/>
      <w:lvlText w:val=""/>
      <w:lvlJc w:val="left"/>
      <w:pPr>
        <w:ind w:left="720" w:hanging="360"/>
      </w:pPr>
      <w:rPr>
        <w:rFonts w:ascii="Symbol" w:hAnsi="Symbol" w:hint="default"/>
      </w:rPr>
    </w:lvl>
    <w:lvl w:ilvl="1" w:tplc="E67CE8F8">
      <w:start w:val="1"/>
      <w:numFmt w:val="bullet"/>
      <w:lvlText w:val="o"/>
      <w:lvlJc w:val="left"/>
      <w:pPr>
        <w:ind w:left="1440" w:hanging="360"/>
      </w:pPr>
      <w:rPr>
        <w:rFonts w:ascii="Courier New" w:hAnsi="Courier New" w:hint="default"/>
      </w:rPr>
    </w:lvl>
    <w:lvl w:ilvl="2" w:tplc="EED4FB54">
      <w:start w:val="1"/>
      <w:numFmt w:val="bullet"/>
      <w:lvlText w:val=""/>
      <w:lvlJc w:val="left"/>
      <w:pPr>
        <w:ind w:left="2160" w:hanging="360"/>
      </w:pPr>
      <w:rPr>
        <w:rFonts w:ascii="Wingdings" w:hAnsi="Wingdings" w:hint="default"/>
      </w:rPr>
    </w:lvl>
    <w:lvl w:ilvl="3" w:tplc="5DD64FCA">
      <w:start w:val="1"/>
      <w:numFmt w:val="bullet"/>
      <w:lvlText w:val=""/>
      <w:lvlJc w:val="left"/>
      <w:pPr>
        <w:ind w:left="2880" w:hanging="360"/>
      </w:pPr>
      <w:rPr>
        <w:rFonts w:ascii="Symbol" w:hAnsi="Symbol" w:hint="default"/>
      </w:rPr>
    </w:lvl>
    <w:lvl w:ilvl="4" w:tplc="539E2BBC">
      <w:start w:val="1"/>
      <w:numFmt w:val="bullet"/>
      <w:lvlText w:val="o"/>
      <w:lvlJc w:val="left"/>
      <w:pPr>
        <w:ind w:left="3600" w:hanging="360"/>
      </w:pPr>
      <w:rPr>
        <w:rFonts w:ascii="Courier New" w:hAnsi="Courier New" w:hint="default"/>
      </w:rPr>
    </w:lvl>
    <w:lvl w:ilvl="5" w:tplc="416ADEEE">
      <w:start w:val="1"/>
      <w:numFmt w:val="bullet"/>
      <w:lvlText w:val=""/>
      <w:lvlJc w:val="left"/>
      <w:pPr>
        <w:ind w:left="4320" w:hanging="360"/>
      </w:pPr>
      <w:rPr>
        <w:rFonts w:ascii="Wingdings" w:hAnsi="Wingdings" w:hint="default"/>
      </w:rPr>
    </w:lvl>
    <w:lvl w:ilvl="6" w:tplc="E6A84A44">
      <w:start w:val="1"/>
      <w:numFmt w:val="bullet"/>
      <w:lvlText w:val=""/>
      <w:lvlJc w:val="left"/>
      <w:pPr>
        <w:ind w:left="5040" w:hanging="360"/>
      </w:pPr>
      <w:rPr>
        <w:rFonts w:ascii="Symbol" w:hAnsi="Symbol" w:hint="default"/>
      </w:rPr>
    </w:lvl>
    <w:lvl w:ilvl="7" w:tplc="94D2C0D4">
      <w:start w:val="1"/>
      <w:numFmt w:val="bullet"/>
      <w:lvlText w:val="o"/>
      <w:lvlJc w:val="left"/>
      <w:pPr>
        <w:ind w:left="5760" w:hanging="360"/>
      </w:pPr>
      <w:rPr>
        <w:rFonts w:ascii="Courier New" w:hAnsi="Courier New" w:hint="default"/>
      </w:rPr>
    </w:lvl>
    <w:lvl w:ilvl="8" w:tplc="2796F2F8">
      <w:start w:val="1"/>
      <w:numFmt w:val="bullet"/>
      <w:lvlText w:val=""/>
      <w:lvlJc w:val="left"/>
      <w:pPr>
        <w:ind w:left="6480" w:hanging="360"/>
      </w:pPr>
      <w:rPr>
        <w:rFonts w:ascii="Wingdings" w:hAnsi="Wingdings" w:hint="default"/>
      </w:rPr>
    </w:lvl>
  </w:abstractNum>
  <w:abstractNum w:abstractNumId="6">
    <w:nsid w:val="15144DE5"/>
    <w:multiLevelType w:val="hybridMultilevel"/>
    <w:tmpl w:val="3026A404"/>
    <w:lvl w:ilvl="0" w:tplc="9550A854">
      <w:start w:val="1"/>
      <w:numFmt w:val="bullet"/>
      <w:lvlText w:val=""/>
      <w:lvlJc w:val="left"/>
      <w:pPr>
        <w:ind w:left="720" w:hanging="360"/>
      </w:pPr>
      <w:rPr>
        <w:rFonts w:ascii="Symbol" w:hAnsi="Symbol" w:hint="default"/>
      </w:rPr>
    </w:lvl>
    <w:lvl w:ilvl="1" w:tplc="0CA6821E">
      <w:start w:val="1"/>
      <w:numFmt w:val="bullet"/>
      <w:lvlText w:val="o"/>
      <w:lvlJc w:val="left"/>
      <w:pPr>
        <w:ind w:left="1440" w:hanging="360"/>
      </w:pPr>
      <w:rPr>
        <w:rFonts w:ascii="Courier New" w:hAnsi="Courier New" w:hint="default"/>
      </w:rPr>
    </w:lvl>
    <w:lvl w:ilvl="2" w:tplc="3F3E9034">
      <w:start w:val="1"/>
      <w:numFmt w:val="bullet"/>
      <w:lvlText w:val=""/>
      <w:lvlJc w:val="left"/>
      <w:pPr>
        <w:ind w:left="2160" w:hanging="360"/>
      </w:pPr>
      <w:rPr>
        <w:rFonts w:ascii="Wingdings" w:hAnsi="Wingdings" w:hint="default"/>
      </w:rPr>
    </w:lvl>
    <w:lvl w:ilvl="3" w:tplc="B3BA8530">
      <w:start w:val="1"/>
      <w:numFmt w:val="bullet"/>
      <w:lvlText w:val=""/>
      <w:lvlJc w:val="left"/>
      <w:pPr>
        <w:ind w:left="2880" w:hanging="360"/>
      </w:pPr>
      <w:rPr>
        <w:rFonts w:ascii="Symbol" w:hAnsi="Symbol" w:hint="default"/>
      </w:rPr>
    </w:lvl>
    <w:lvl w:ilvl="4" w:tplc="190AE3CA">
      <w:start w:val="1"/>
      <w:numFmt w:val="bullet"/>
      <w:lvlText w:val="o"/>
      <w:lvlJc w:val="left"/>
      <w:pPr>
        <w:ind w:left="3600" w:hanging="360"/>
      </w:pPr>
      <w:rPr>
        <w:rFonts w:ascii="Courier New" w:hAnsi="Courier New" w:hint="default"/>
      </w:rPr>
    </w:lvl>
    <w:lvl w:ilvl="5" w:tplc="60308AE4">
      <w:start w:val="1"/>
      <w:numFmt w:val="bullet"/>
      <w:lvlText w:val=""/>
      <w:lvlJc w:val="left"/>
      <w:pPr>
        <w:ind w:left="4320" w:hanging="360"/>
      </w:pPr>
      <w:rPr>
        <w:rFonts w:ascii="Wingdings" w:hAnsi="Wingdings" w:hint="default"/>
      </w:rPr>
    </w:lvl>
    <w:lvl w:ilvl="6" w:tplc="E66E9210">
      <w:start w:val="1"/>
      <w:numFmt w:val="bullet"/>
      <w:lvlText w:val=""/>
      <w:lvlJc w:val="left"/>
      <w:pPr>
        <w:ind w:left="5040" w:hanging="360"/>
      </w:pPr>
      <w:rPr>
        <w:rFonts w:ascii="Symbol" w:hAnsi="Symbol" w:hint="default"/>
      </w:rPr>
    </w:lvl>
    <w:lvl w:ilvl="7" w:tplc="D53ACE90">
      <w:start w:val="1"/>
      <w:numFmt w:val="bullet"/>
      <w:lvlText w:val="o"/>
      <w:lvlJc w:val="left"/>
      <w:pPr>
        <w:ind w:left="5760" w:hanging="360"/>
      </w:pPr>
      <w:rPr>
        <w:rFonts w:ascii="Courier New" w:hAnsi="Courier New" w:hint="default"/>
      </w:rPr>
    </w:lvl>
    <w:lvl w:ilvl="8" w:tplc="23C0D648">
      <w:start w:val="1"/>
      <w:numFmt w:val="bullet"/>
      <w:lvlText w:val=""/>
      <w:lvlJc w:val="left"/>
      <w:pPr>
        <w:ind w:left="6480" w:hanging="360"/>
      </w:pPr>
      <w:rPr>
        <w:rFonts w:ascii="Wingdings" w:hAnsi="Wingdings" w:hint="default"/>
      </w:rPr>
    </w:lvl>
  </w:abstractNum>
  <w:abstractNum w:abstractNumId="7">
    <w:nsid w:val="18581DF1"/>
    <w:multiLevelType w:val="hybridMultilevel"/>
    <w:tmpl w:val="CEB8F3A8"/>
    <w:lvl w:ilvl="0" w:tplc="25C2D58C">
      <w:start w:val="1"/>
      <w:numFmt w:val="bullet"/>
      <w:lvlText w:val=""/>
      <w:lvlJc w:val="left"/>
      <w:pPr>
        <w:ind w:left="720" w:hanging="360"/>
      </w:pPr>
      <w:rPr>
        <w:rFonts w:ascii="Symbol" w:hAnsi="Symbol" w:hint="default"/>
      </w:rPr>
    </w:lvl>
    <w:lvl w:ilvl="1" w:tplc="DB8E5146">
      <w:numFmt w:val="bullet"/>
      <w:lvlText w:val=""/>
      <w:lvlJc w:val="left"/>
      <w:pPr>
        <w:ind w:left="1440" w:hanging="360"/>
      </w:pPr>
      <w:rPr>
        <w:rFonts w:ascii="Symbol" w:hAnsi="Symbol" w:hint="default"/>
      </w:rPr>
    </w:lvl>
    <w:lvl w:ilvl="2" w:tplc="5F68A9DA">
      <w:start w:val="1"/>
      <w:numFmt w:val="bullet"/>
      <w:lvlText w:val=""/>
      <w:lvlJc w:val="left"/>
      <w:pPr>
        <w:ind w:left="2160" w:hanging="360"/>
      </w:pPr>
      <w:rPr>
        <w:rFonts w:ascii="Wingdings" w:hAnsi="Wingdings" w:hint="default"/>
      </w:rPr>
    </w:lvl>
    <w:lvl w:ilvl="3" w:tplc="804C8874">
      <w:start w:val="1"/>
      <w:numFmt w:val="bullet"/>
      <w:lvlText w:val=""/>
      <w:lvlJc w:val="left"/>
      <w:pPr>
        <w:ind w:left="2880" w:hanging="360"/>
      </w:pPr>
      <w:rPr>
        <w:rFonts w:ascii="Symbol" w:hAnsi="Symbol" w:hint="default"/>
      </w:rPr>
    </w:lvl>
    <w:lvl w:ilvl="4" w:tplc="534631B6">
      <w:start w:val="1"/>
      <w:numFmt w:val="bullet"/>
      <w:lvlText w:val="o"/>
      <w:lvlJc w:val="left"/>
      <w:pPr>
        <w:ind w:left="3600" w:hanging="360"/>
      </w:pPr>
      <w:rPr>
        <w:rFonts w:ascii="Courier New" w:hAnsi="Courier New" w:hint="default"/>
      </w:rPr>
    </w:lvl>
    <w:lvl w:ilvl="5" w:tplc="5E321E18">
      <w:start w:val="1"/>
      <w:numFmt w:val="bullet"/>
      <w:lvlText w:val=""/>
      <w:lvlJc w:val="left"/>
      <w:pPr>
        <w:ind w:left="4320" w:hanging="360"/>
      </w:pPr>
      <w:rPr>
        <w:rFonts w:ascii="Wingdings" w:hAnsi="Wingdings" w:hint="default"/>
      </w:rPr>
    </w:lvl>
    <w:lvl w:ilvl="6" w:tplc="0492B95A">
      <w:start w:val="1"/>
      <w:numFmt w:val="bullet"/>
      <w:lvlText w:val=""/>
      <w:lvlJc w:val="left"/>
      <w:pPr>
        <w:ind w:left="5040" w:hanging="360"/>
      </w:pPr>
      <w:rPr>
        <w:rFonts w:ascii="Symbol" w:hAnsi="Symbol" w:hint="default"/>
      </w:rPr>
    </w:lvl>
    <w:lvl w:ilvl="7" w:tplc="638A36AC">
      <w:start w:val="1"/>
      <w:numFmt w:val="bullet"/>
      <w:lvlText w:val="o"/>
      <w:lvlJc w:val="left"/>
      <w:pPr>
        <w:ind w:left="5760" w:hanging="360"/>
      </w:pPr>
      <w:rPr>
        <w:rFonts w:ascii="Courier New" w:hAnsi="Courier New" w:hint="default"/>
      </w:rPr>
    </w:lvl>
    <w:lvl w:ilvl="8" w:tplc="B5E46AC2">
      <w:start w:val="1"/>
      <w:numFmt w:val="bullet"/>
      <w:lvlText w:val=""/>
      <w:lvlJc w:val="left"/>
      <w:pPr>
        <w:ind w:left="6480" w:hanging="360"/>
      </w:pPr>
      <w:rPr>
        <w:rFonts w:ascii="Wingdings" w:hAnsi="Wingdings" w:hint="default"/>
      </w:rPr>
    </w:lvl>
  </w:abstractNum>
  <w:abstractNum w:abstractNumId="8">
    <w:nsid w:val="2699739A"/>
    <w:multiLevelType w:val="hybridMultilevel"/>
    <w:tmpl w:val="4DB68CDE"/>
    <w:lvl w:ilvl="0" w:tplc="BCE8A480">
      <w:start w:val="1"/>
      <w:numFmt w:val="bullet"/>
      <w:lvlText w:val="•"/>
      <w:lvlJc w:val="left"/>
      <w:pPr>
        <w:tabs>
          <w:tab w:val="num" w:pos="720"/>
        </w:tabs>
        <w:ind w:left="720" w:hanging="360"/>
      </w:pPr>
      <w:rPr>
        <w:rFonts w:ascii="Arial" w:hAnsi="Arial" w:hint="default"/>
      </w:rPr>
    </w:lvl>
    <w:lvl w:ilvl="1" w:tplc="6C1E4CF4" w:tentative="1">
      <w:start w:val="1"/>
      <w:numFmt w:val="bullet"/>
      <w:lvlText w:val="•"/>
      <w:lvlJc w:val="left"/>
      <w:pPr>
        <w:tabs>
          <w:tab w:val="num" w:pos="1440"/>
        </w:tabs>
        <w:ind w:left="1440" w:hanging="360"/>
      </w:pPr>
      <w:rPr>
        <w:rFonts w:ascii="Arial" w:hAnsi="Arial" w:hint="default"/>
      </w:rPr>
    </w:lvl>
    <w:lvl w:ilvl="2" w:tplc="A4248974" w:tentative="1">
      <w:start w:val="1"/>
      <w:numFmt w:val="bullet"/>
      <w:lvlText w:val="•"/>
      <w:lvlJc w:val="left"/>
      <w:pPr>
        <w:tabs>
          <w:tab w:val="num" w:pos="2160"/>
        </w:tabs>
        <w:ind w:left="2160" w:hanging="360"/>
      </w:pPr>
      <w:rPr>
        <w:rFonts w:ascii="Arial" w:hAnsi="Arial" w:hint="default"/>
      </w:rPr>
    </w:lvl>
    <w:lvl w:ilvl="3" w:tplc="A24E080A" w:tentative="1">
      <w:start w:val="1"/>
      <w:numFmt w:val="bullet"/>
      <w:lvlText w:val="•"/>
      <w:lvlJc w:val="left"/>
      <w:pPr>
        <w:tabs>
          <w:tab w:val="num" w:pos="2880"/>
        </w:tabs>
        <w:ind w:left="2880" w:hanging="360"/>
      </w:pPr>
      <w:rPr>
        <w:rFonts w:ascii="Arial" w:hAnsi="Arial" w:hint="default"/>
      </w:rPr>
    </w:lvl>
    <w:lvl w:ilvl="4" w:tplc="CA1C332E" w:tentative="1">
      <w:start w:val="1"/>
      <w:numFmt w:val="bullet"/>
      <w:lvlText w:val="•"/>
      <w:lvlJc w:val="left"/>
      <w:pPr>
        <w:tabs>
          <w:tab w:val="num" w:pos="3600"/>
        </w:tabs>
        <w:ind w:left="3600" w:hanging="360"/>
      </w:pPr>
      <w:rPr>
        <w:rFonts w:ascii="Arial" w:hAnsi="Arial" w:hint="default"/>
      </w:rPr>
    </w:lvl>
    <w:lvl w:ilvl="5" w:tplc="D964501C" w:tentative="1">
      <w:start w:val="1"/>
      <w:numFmt w:val="bullet"/>
      <w:lvlText w:val="•"/>
      <w:lvlJc w:val="left"/>
      <w:pPr>
        <w:tabs>
          <w:tab w:val="num" w:pos="4320"/>
        </w:tabs>
        <w:ind w:left="4320" w:hanging="360"/>
      </w:pPr>
      <w:rPr>
        <w:rFonts w:ascii="Arial" w:hAnsi="Arial" w:hint="default"/>
      </w:rPr>
    </w:lvl>
    <w:lvl w:ilvl="6" w:tplc="CE5A0E76" w:tentative="1">
      <w:start w:val="1"/>
      <w:numFmt w:val="bullet"/>
      <w:lvlText w:val="•"/>
      <w:lvlJc w:val="left"/>
      <w:pPr>
        <w:tabs>
          <w:tab w:val="num" w:pos="5040"/>
        </w:tabs>
        <w:ind w:left="5040" w:hanging="360"/>
      </w:pPr>
      <w:rPr>
        <w:rFonts w:ascii="Arial" w:hAnsi="Arial" w:hint="default"/>
      </w:rPr>
    </w:lvl>
    <w:lvl w:ilvl="7" w:tplc="01D81A2C" w:tentative="1">
      <w:start w:val="1"/>
      <w:numFmt w:val="bullet"/>
      <w:lvlText w:val="•"/>
      <w:lvlJc w:val="left"/>
      <w:pPr>
        <w:tabs>
          <w:tab w:val="num" w:pos="5760"/>
        </w:tabs>
        <w:ind w:left="5760" w:hanging="360"/>
      </w:pPr>
      <w:rPr>
        <w:rFonts w:ascii="Arial" w:hAnsi="Arial" w:hint="default"/>
      </w:rPr>
    </w:lvl>
    <w:lvl w:ilvl="8" w:tplc="9272866A" w:tentative="1">
      <w:start w:val="1"/>
      <w:numFmt w:val="bullet"/>
      <w:lvlText w:val="•"/>
      <w:lvlJc w:val="left"/>
      <w:pPr>
        <w:tabs>
          <w:tab w:val="num" w:pos="6480"/>
        </w:tabs>
        <w:ind w:left="6480" w:hanging="360"/>
      </w:pPr>
      <w:rPr>
        <w:rFonts w:ascii="Arial" w:hAnsi="Arial" w:hint="default"/>
      </w:rPr>
    </w:lvl>
  </w:abstractNum>
  <w:abstractNum w:abstractNumId="9">
    <w:nsid w:val="430C647B"/>
    <w:multiLevelType w:val="hybridMultilevel"/>
    <w:tmpl w:val="0C264D4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nsid w:val="457A1F35"/>
    <w:multiLevelType w:val="hybridMultilevel"/>
    <w:tmpl w:val="F0A68F52"/>
    <w:lvl w:ilvl="0" w:tplc="0BF622A2">
      <w:numFmt w:val="bullet"/>
      <w:lvlText w:val="-"/>
      <w:lvlJc w:val="left"/>
      <w:pPr>
        <w:ind w:left="720" w:hanging="360"/>
      </w:pPr>
      <w:rPr>
        <w:rFonts w:ascii="Arial" w:eastAsia="SimSu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60031ABC"/>
    <w:multiLevelType w:val="hybridMultilevel"/>
    <w:tmpl w:val="0F3CC87A"/>
    <w:lvl w:ilvl="0" w:tplc="CF1E69B8">
      <w:numFmt w:val="bullet"/>
      <w:lvlText w:val="-"/>
      <w:lvlJc w:val="left"/>
      <w:pPr>
        <w:ind w:left="720" w:hanging="360"/>
      </w:pPr>
      <w:rPr>
        <w:rFonts w:ascii="Verdana" w:eastAsia="SimSu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631144D9"/>
    <w:multiLevelType w:val="hybridMultilevel"/>
    <w:tmpl w:val="D72AF3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63284ACC"/>
    <w:multiLevelType w:val="hybridMultilevel"/>
    <w:tmpl w:val="7332B09A"/>
    <w:lvl w:ilvl="0" w:tplc="9FAE68DE">
      <w:start w:val="1"/>
      <w:numFmt w:val="bullet"/>
      <w:lvlText w:val=""/>
      <w:lvlJc w:val="left"/>
      <w:pPr>
        <w:ind w:left="720" w:hanging="360"/>
      </w:pPr>
      <w:rPr>
        <w:rFonts w:ascii="Symbol" w:hAnsi="Symbol" w:hint="default"/>
      </w:rPr>
    </w:lvl>
    <w:lvl w:ilvl="1" w:tplc="8A4C12EC">
      <w:start w:val="1"/>
      <w:numFmt w:val="bullet"/>
      <w:lvlText w:val="o"/>
      <w:lvlJc w:val="left"/>
      <w:pPr>
        <w:ind w:left="1440" w:hanging="360"/>
      </w:pPr>
      <w:rPr>
        <w:rFonts w:ascii="Courier New" w:hAnsi="Courier New" w:hint="default"/>
      </w:rPr>
    </w:lvl>
    <w:lvl w:ilvl="2" w:tplc="4CB2CD3C">
      <w:start w:val="1"/>
      <w:numFmt w:val="bullet"/>
      <w:lvlText w:val=""/>
      <w:lvlJc w:val="left"/>
      <w:pPr>
        <w:ind w:left="2160" w:hanging="360"/>
      </w:pPr>
      <w:rPr>
        <w:rFonts w:ascii="Wingdings" w:hAnsi="Wingdings" w:hint="default"/>
      </w:rPr>
    </w:lvl>
    <w:lvl w:ilvl="3" w:tplc="2F867310">
      <w:start w:val="1"/>
      <w:numFmt w:val="bullet"/>
      <w:lvlText w:val=""/>
      <w:lvlJc w:val="left"/>
      <w:pPr>
        <w:ind w:left="2880" w:hanging="360"/>
      </w:pPr>
      <w:rPr>
        <w:rFonts w:ascii="Symbol" w:hAnsi="Symbol" w:hint="default"/>
      </w:rPr>
    </w:lvl>
    <w:lvl w:ilvl="4" w:tplc="92461888">
      <w:start w:val="1"/>
      <w:numFmt w:val="bullet"/>
      <w:lvlText w:val="o"/>
      <w:lvlJc w:val="left"/>
      <w:pPr>
        <w:ind w:left="3600" w:hanging="360"/>
      </w:pPr>
      <w:rPr>
        <w:rFonts w:ascii="Courier New" w:hAnsi="Courier New" w:hint="default"/>
      </w:rPr>
    </w:lvl>
    <w:lvl w:ilvl="5" w:tplc="7292EEE2">
      <w:start w:val="1"/>
      <w:numFmt w:val="bullet"/>
      <w:lvlText w:val=""/>
      <w:lvlJc w:val="left"/>
      <w:pPr>
        <w:ind w:left="4320" w:hanging="360"/>
      </w:pPr>
      <w:rPr>
        <w:rFonts w:ascii="Wingdings" w:hAnsi="Wingdings" w:hint="default"/>
      </w:rPr>
    </w:lvl>
    <w:lvl w:ilvl="6" w:tplc="FD6E1E98">
      <w:start w:val="1"/>
      <w:numFmt w:val="bullet"/>
      <w:lvlText w:val=""/>
      <w:lvlJc w:val="left"/>
      <w:pPr>
        <w:ind w:left="5040" w:hanging="360"/>
      </w:pPr>
      <w:rPr>
        <w:rFonts w:ascii="Symbol" w:hAnsi="Symbol" w:hint="default"/>
      </w:rPr>
    </w:lvl>
    <w:lvl w:ilvl="7" w:tplc="FC2CDC42">
      <w:start w:val="1"/>
      <w:numFmt w:val="bullet"/>
      <w:lvlText w:val="o"/>
      <w:lvlJc w:val="left"/>
      <w:pPr>
        <w:ind w:left="5760" w:hanging="360"/>
      </w:pPr>
      <w:rPr>
        <w:rFonts w:ascii="Courier New" w:hAnsi="Courier New" w:hint="default"/>
      </w:rPr>
    </w:lvl>
    <w:lvl w:ilvl="8" w:tplc="694E2FAC">
      <w:start w:val="1"/>
      <w:numFmt w:val="bullet"/>
      <w:lvlText w:val=""/>
      <w:lvlJc w:val="left"/>
      <w:pPr>
        <w:ind w:left="6480" w:hanging="360"/>
      </w:pPr>
      <w:rPr>
        <w:rFonts w:ascii="Wingdings" w:hAnsi="Wingdings" w:hint="default"/>
      </w:rPr>
    </w:lvl>
  </w:abstractNum>
  <w:abstractNum w:abstractNumId="14">
    <w:nsid w:val="661E6181"/>
    <w:multiLevelType w:val="hybridMultilevel"/>
    <w:tmpl w:val="AF18A54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nsid w:val="72FD19DF"/>
    <w:multiLevelType w:val="hybridMultilevel"/>
    <w:tmpl w:val="652A620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5"/>
  </w:num>
  <w:num w:numId="2">
    <w:abstractNumId w:val="13"/>
  </w:num>
  <w:num w:numId="3">
    <w:abstractNumId w:val="7"/>
  </w:num>
  <w:num w:numId="4">
    <w:abstractNumId w:val="6"/>
  </w:num>
  <w:num w:numId="5">
    <w:abstractNumId w:val="1"/>
  </w:num>
  <w:num w:numId="6">
    <w:abstractNumId w:val="2"/>
  </w:num>
  <w:num w:numId="7">
    <w:abstractNumId w:val="3"/>
  </w:num>
  <w:num w:numId="8">
    <w:abstractNumId w:val="10"/>
  </w:num>
  <w:num w:numId="9">
    <w:abstractNumId w:val="0"/>
  </w:num>
  <w:num w:numId="10">
    <w:abstractNumId w:val="8"/>
  </w:num>
  <w:num w:numId="11">
    <w:abstractNumId w:val="12"/>
  </w:num>
  <w:num w:numId="12">
    <w:abstractNumId w:val="11"/>
  </w:num>
  <w:num w:numId="13">
    <w:abstractNumId w:val="9"/>
  </w:num>
  <w:num w:numId="14">
    <w:abstractNumId w:val="15"/>
  </w:num>
  <w:num w:numId="15">
    <w:abstractNumId w:val="4"/>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gutterAtTop/>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6A5"/>
    <w:rsid w:val="00015782"/>
    <w:rsid w:val="00020A54"/>
    <w:rsid w:val="00031B19"/>
    <w:rsid w:val="000431FC"/>
    <w:rsid w:val="0009398D"/>
    <w:rsid w:val="000966A5"/>
    <w:rsid w:val="000A570C"/>
    <w:rsid w:val="000F355B"/>
    <w:rsid w:val="001322DC"/>
    <w:rsid w:val="001327C8"/>
    <w:rsid w:val="00141401"/>
    <w:rsid w:val="00157E13"/>
    <w:rsid w:val="0016489B"/>
    <w:rsid w:val="00172682"/>
    <w:rsid w:val="0017428F"/>
    <w:rsid w:val="001A0EE7"/>
    <w:rsid w:val="001B5930"/>
    <w:rsid w:val="001C466A"/>
    <w:rsid w:val="00213D25"/>
    <w:rsid w:val="00221F00"/>
    <w:rsid w:val="002221F5"/>
    <w:rsid w:val="00243AF9"/>
    <w:rsid w:val="00251461"/>
    <w:rsid w:val="002650B0"/>
    <w:rsid w:val="002929E6"/>
    <w:rsid w:val="002A5B58"/>
    <w:rsid w:val="002F54CC"/>
    <w:rsid w:val="00332D5A"/>
    <w:rsid w:val="003420AD"/>
    <w:rsid w:val="003744CB"/>
    <w:rsid w:val="0038036A"/>
    <w:rsid w:val="003966A6"/>
    <w:rsid w:val="003B1280"/>
    <w:rsid w:val="003B52FF"/>
    <w:rsid w:val="003F5D77"/>
    <w:rsid w:val="00403AC9"/>
    <w:rsid w:val="00405EFC"/>
    <w:rsid w:val="00450F2B"/>
    <w:rsid w:val="00481787"/>
    <w:rsid w:val="004A67F3"/>
    <w:rsid w:val="004F4A57"/>
    <w:rsid w:val="00502539"/>
    <w:rsid w:val="0051271A"/>
    <w:rsid w:val="00543505"/>
    <w:rsid w:val="00564CE8"/>
    <w:rsid w:val="005F0153"/>
    <w:rsid w:val="00611755"/>
    <w:rsid w:val="00626CBC"/>
    <w:rsid w:val="00630A5E"/>
    <w:rsid w:val="00633A2F"/>
    <w:rsid w:val="00652F55"/>
    <w:rsid w:val="006A3BC2"/>
    <w:rsid w:val="006B3E9D"/>
    <w:rsid w:val="006F3473"/>
    <w:rsid w:val="00730513"/>
    <w:rsid w:val="007358F5"/>
    <w:rsid w:val="00741C82"/>
    <w:rsid w:val="0074359D"/>
    <w:rsid w:val="0079748E"/>
    <w:rsid w:val="007A7B97"/>
    <w:rsid w:val="007B7D1F"/>
    <w:rsid w:val="007D246C"/>
    <w:rsid w:val="007D7354"/>
    <w:rsid w:val="007F401A"/>
    <w:rsid w:val="00806B91"/>
    <w:rsid w:val="00814E57"/>
    <w:rsid w:val="0082148C"/>
    <w:rsid w:val="00825C0B"/>
    <w:rsid w:val="00827890"/>
    <w:rsid w:val="0083500C"/>
    <w:rsid w:val="00841AF9"/>
    <w:rsid w:val="00843359"/>
    <w:rsid w:val="00843724"/>
    <w:rsid w:val="00860E13"/>
    <w:rsid w:val="0088450D"/>
    <w:rsid w:val="008956B9"/>
    <w:rsid w:val="008C34E6"/>
    <w:rsid w:val="008D0202"/>
    <w:rsid w:val="008D57C0"/>
    <w:rsid w:val="008F41F9"/>
    <w:rsid w:val="00934D6C"/>
    <w:rsid w:val="009407BA"/>
    <w:rsid w:val="00947C0E"/>
    <w:rsid w:val="009520CB"/>
    <w:rsid w:val="00953F99"/>
    <w:rsid w:val="009542D5"/>
    <w:rsid w:val="00957C95"/>
    <w:rsid w:val="00973218"/>
    <w:rsid w:val="00973B15"/>
    <w:rsid w:val="0097477D"/>
    <w:rsid w:val="009910D0"/>
    <w:rsid w:val="009B1673"/>
    <w:rsid w:val="009C075F"/>
    <w:rsid w:val="009F2D5B"/>
    <w:rsid w:val="009F5701"/>
    <w:rsid w:val="00A03715"/>
    <w:rsid w:val="00A230D1"/>
    <w:rsid w:val="00A34D8D"/>
    <w:rsid w:val="00A433C2"/>
    <w:rsid w:val="00A60403"/>
    <w:rsid w:val="00AD0191"/>
    <w:rsid w:val="00AE7184"/>
    <w:rsid w:val="00AF6772"/>
    <w:rsid w:val="00B033B8"/>
    <w:rsid w:val="00B82553"/>
    <w:rsid w:val="00BE4175"/>
    <w:rsid w:val="00BE52CF"/>
    <w:rsid w:val="00BE6FC2"/>
    <w:rsid w:val="00C23DEA"/>
    <w:rsid w:val="00C52CBA"/>
    <w:rsid w:val="00CB2BE3"/>
    <w:rsid w:val="00CC0218"/>
    <w:rsid w:val="00D27C9C"/>
    <w:rsid w:val="00D50517"/>
    <w:rsid w:val="00D80E84"/>
    <w:rsid w:val="00D86EE0"/>
    <w:rsid w:val="00D87FB9"/>
    <w:rsid w:val="00D90F22"/>
    <w:rsid w:val="00DA6B8B"/>
    <w:rsid w:val="00DC0102"/>
    <w:rsid w:val="00E208FB"/>
    <w:rsid w:val="00ED7F39"/>
    <w:rsid w:val="00EE7747"/>
    <w:rsid w:val="00F04DC2"/>
    <w:rsid w:val="00F275A3"/>
    <w:rsid w:val="00F716D6"/>
    <w:rsid w:val="00FD71CF"/>
    <w:rsid w:val="0A99093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0B75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uppressAutoHyphens/>
      <w:textAlignment w:val="baseline"/>
    </w:pPr>
    <w:rPr>
      <w:rFonts w:eastAsia="SimSun" w:cs="Mangal"/>
      <w:kern w:val="1"/>
      <w:sz w:val="24"/>
      <w:szCs w:val="24"/>
      <w:lang w:eastAsia="zh-CN" w:bidi="hi-IN"/>
    </w:rPr>
  </w:style>
  <w:style w:type="paragraph" w:styleId="Titre1">
    <w:name w:val="heading 1"/>
    <w:basedOn w:val="Heading"/>
    <w:next w:val="Textbody"/>
    <w:qFormat/>
    <w:pPr>
      <w:numPr>
        <w:numId w:val="5"/>
      </w:numPr>
      <w:outlineLvl w:val="0"/>
    </w:pPr>
    <w:rPr>
      <w:b/>
      <w:bCs/>
    </w:rPr>
  </w:style>
  <w:style w:type="paragraph" w:styleId="Titre2">
    <w:name w:val="heading 2"/>
    <w:basedOn w:val="Heading"/>
    <w:next w:val="Textbody"/>
    <w:qFormat/>
    <w:pPr>
      <w:numPr>
        <w:ilvl w:val="1"/>
        <w:numId w:val="5"/>
      </w:numPr>
      <w:outlineLvl w:val="1"/>
    </w:pPr>
    <w:rPr>
      <w:b/>
      <w:bCs/>
      <w:i/>
      <w:iCs/>
    </w:rPr>
  </w:style>
  <w:style w:type="paragraph" w:styleId="Titre3">
    <w:name w:val="heading 3"/>
    <w:basedOn w:val="Heading"/>
    <w:next w:val="Textbody"/>
    <w:qFormat/>
    <w:pPr>
      <w:numPr>
        <w:ilvl w:val="2"/>
        <w:numId w:val="5"/>
      </w:num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eastAsia="Times New Roman" w:hAnsi="Symbol" w:cs="Verdana"/>
    </w:rPr>
  </w:style>
  <w:style w:type="character" w:customStyle="1" w:styleId="WW8Num1z1">
    <w:name w:val="WW8Num1z1"/>
    <w:rPr>
      <w:rFonts w:ascii="OpenSymbol" w:hAnsi="OpenSymbol" w:cs="Courier New"/>
    </w:rPr>
  </w:style>
  <w:style w:type="character" w:customStyle="1" w:styleId="WW8Num2z0">
    <w:name w:val="WW8Num2z0"/>
    <w:rPr>
      <w:rFonts w:ascii="Verdana" w:eastAsia="SimSun" w:hAnsi="Verdana" w:cs="Manga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4z0">
    <w:name w:val="WW8Num4z0"/>
    <w:rPr>
      <w:rFonts w:ascii="Verdana" w:eastAsia="Times New Roman" w:hAnsi="Verdana" w:cs="Verdana"/>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Policepardfaut1">
    <w:name w:val="Police par défaut1"/>
  </w:style>
  <w:style w:type="character" w:customStyle="1" w:styleId="NumberingSymbols">
    <w:name w:val="Numbering Symbols"/>
    <w:rPr>
      <w:b/>
      <w:bCs/>
    </w:rPr>
  </w:style>
  <w:style w:type="character" w:customStyle="1" w:styleId="BulletSymbols">
    <w:name w:val="Bullet Symbols"/>
    <w:rPr>
      <w:rFonts w:ascii="OpenSymbol" w:eastAsia="OpenSymbol" w:hAnsi="OpenSymbol" w:cs="OpenSymbol"/>
    </w:rPr>
  </w:style>
  <w:style w:type="character" w:customStyle="1" w:styleId="En-tteCar">
    <w:name w:val="En-tête Car"/>
    <w:rPr>
      <w:szCs w:val="21"/>
    </w:rPr>
  </w:style>
  <w:style w:type="character" w:styleId="Numrodepage">
    <w:name w:val="page number"/>
    <w:basedOn w:val="Policepardfaut1"/>
  </w:style>
  <w:style w:type="character" w:customStyle="1" w:styleId="Puces">
    <w:name w:val="Puces"/>
    <w:rPr>
      <w:rFonts w:ascii="OpenSymbol" w:eastAsia="OpenSymbol" w:hAnsi="OpenSymbol" w:cs="OpenSymbol"/>
    </w:rPr>
  </w:style>
  <w:style w:type="paragraph" w:customStyle="1" w:styleId="Titre10">
    <w:name w:val="Titre1"/>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spacing w:after="120"/>
    </w:pPr>
  </w:style>
  <w:style w:type="paragraph" w:styleId="Liste">
    <w:name w:val="List"/>
    <w:basedOn w:val="Textbody"/>
  </w:style>
  <w:style w:type="paragraph" w:styleId="Lgende">
    <w:name w:val="caption"/>
    <w:basedOn w:val="WW-Standard"/>
    <w:qFormat/>
    <w:pPr>
      <w:suppressLineNumbers/>
      <w:spacing w:before="120" w:after="120"/>
    </w:pPr>
    <w:rPr>
      <w:i/>
      <w:iCs/>
    </w:rPr>
  </w:style>
  <w:style w:type="paragraph" w:customStyle="1" w:styleId="Index">
    <w:name w:val="Index"/>
    <w:basedOn w:val="WW-Standard"/>
    <w:pPr>
      <w:suppressLineNumbers/>
    </w:pPr>
  </w:style>
  <w:style w:type="paragraph" w:customStyle="1" w:styleId="WW-Standard">
    <w:name w:val="WW-Standard"/>
    <w:pPr>
      <w:widowControl w:val="0"/>
      <w:suppressAutoHyphens/>
      <w:textAlignment w:val="baseline"/>
    </w:pPr>
    <w:rPr>
      <w:rFonts w:eastAsia="SimSun" w:cs="Mangal"/>
      <w:kern w:val="1"/>
      <w:sz w:val="24"/>
      <w:szCs w:val="24"/>
      <w:lang w:eastAsia="zh-CN" w:bidi="hi-IN"/>
    </w:rPr>
  </w:style>
  <w:style w:type="paragraph" w:customStyle="1" w:styleId="Heading">
    <w:name w:val="Heading"/>
    <w:basedOn w:val="WW-Standard"/>
    <w:next w:val="Textbody"/>
    <w:pPr>
      <w:keepNext/>
      <w:spacing w:before="240" w:after="120"/>
    </w:pPr>
    <w:rPr>
      <w:rFonts w:ascii="Arial" w:eastAsia="Microsoft YaHei" w:hAnsi="Arial" w:cs="Arial"/>
      <w:sz w:val="28"/>
      <w:szCs w:val="28"/>
    </w:rPr>
  </w:style>
  <w:style w:type="paragraph" w:customStyle="1" w:styleId="Textbody">
    <w:name w:val="Text body"/>
    <w:basedOn w:val="WW-Standard"/>
    <w:pPr>
      <w:spacing w:after="120"/>
    </w:pPr>
  </w:style>
  <w:style w:type="paragraph" w:styleId="Pieddepage">
    <w:name w:val="footer"/>
    <w:basedOn w:val="WW-Standard"/>
    <w:pPr>
      <w:suppressLineNumbers/>
    </w:pPr>
  </w:style>
  <w:style w:type="paragraph" w:customStyle="1" w:styleId="TableContents">
    <w:name w:val="Table Contents"/>
    <w:basedOn w:val="WW-Standard"/>
    <w:pPr>
      <w:suppressLineNumbers/>
    </w:pPr>
  </w:style>
  <w:style w:type="paragraph" w:styleId="En-tte">
    <w:name w:val="header"/>
    <w:basedOn w:val="Normal"/>
    <w:rPr>
      <w:szCs w:val="21"/>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table" w:styleId="Grilledutableau">
    <w:name w:val="Table Grid"/>
    <w:basedOn w:val="TableauNormal"/>
    <w:rsid w:val="00450F2B"/>
    <w:pPr>
      <w:widowControl w:val="0"/>
      <w:suppressAutoHyphens/>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D7F39"/>
    <w:pPr>
      <w:widowControl w:val="0"/>
      <w:suppressAutoHyphens/>
      <w:autoSpaceDN w:val="0"/>
      <w:textAlignment w:val="baseline"/>
    </w:pPr>
    <w:rPr>
      <w:rFonts w:eastAsia="SimSun" w:cs="Mangal"/>
      <w:kern w:val="3"/>
      <w:sz w:val="24"/>
      <w:szCs w:val="24"/>
      <w:lang w:eastAsia="zh-CN" w:bidi="hi-IN"/>
    </w:rPr>
  </w:style>
  <w:style w:type="paragraph" w:styleId="NormalWeb">
    <w:name w:val="Normal (Web)"/>
    <w:basedOn w:val="Normal"/>
    <w:uiPriority w:val="99"/>
    <w:unhideWhenUsed/>
    <w:rsid w:val="009910D0"/>
    <w:pPr>
      <w:widowControl/>
      <w:suppressAutoHyphens w:val="0"/>
      <w:spacing w:before="100" w:beforeAutospacing="1" w:after="100" w:afterAutospacing="1"/>
      <w:textAlignment w:val="auto"/>
    </w:pPr>
    <w:rPr>
      <w:rFonts w:eastAsia="Times New Roman" w:cs="Times New Roman"/>
      <w:kern w:val="0"/>
      <w:lang w:eastAsia="fr-FR" w:bidi="ar-SA"/>
    </w:rPr>
  </w:style>
  <w:style w:type="paragraph" w:styleId="Paragraphedeliste">
    <w:name w:val="List Paragraph"/>
    <w:basedOn w:val="Normal"/>
    <w:uiPriority w:val="34"/>
    <w:qFormat/>
    <w:rsid w:val="006B3E9D"/>
    <w:pPr>
      <w:widowControl/>
      <w:suppressAutoHyphens w:val="0"/>
      <w:spacing w:after="200" w:line="276" w:lineRule="auto"/>
      <w:ind w:left="720"/>
      <w:contextualSpacing/>
      <w:textAlignment w:val="auto"/>
    </w:pPr>
    <w:rPr>
      <w:rFonts w:asciiTheme="minorHAnsi" w:eastAsiaTheme="minorHAnsi" w:hAnsiTheme="minorHAnsi" w:cstheme="minorBidi"/>
      <w:kern w:val="0"/>
      <w:sz w:val="22"/>
      <w:szCs w:val="22"/>
      <w:lang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uppressAutoHyphens/>
      <w:textAlignment w:val="baseline"/>
    </w:pPr>
    <w:rPr>
      <w:rFonts w:eastAsia="SimSun" w:cs="Mangal"/>
      <w:kern w:val="1"/>
      <w:sz w:val="24"/>
      <w:szCs w:val="24"/>
      <w:lang w:eastAsia="zh-CN" w:bidi="hi-IN"/>
    </w:rPr>
  </w:style>
  <w:style w:type="paragraph" w:styleId="Titre1">
    <w:name w:val="heading 1"/>
    <w:basedOn w:val="Heading"/>
    <w:next w:val="Textbody"/>
    <w:qFormat/>
    <w:pPr>
      <w:numPr>
        <w:numId w:val="5"/>
      </w:numPr>
      <w:outlineLvl w:val="0"/>
    </w:pPr>
    <w:rPr>
      <w:b/>
      <w:bCs/>
    </w:rPr>
  </w:style>
  <w:style w:type="paragraph" w:styleId="Titre2">
    <w:name w:val="heading 2"/>
    <w:basedOn w:val="Heading"/>
    <w:next w:val="Textbody"/>
    <w:qFormat/>
    <w:pPr>
      <w:numPr>
        <w:ilvl w:val="1"/>
        <w:numId w:val="5"/>
      </w:numPr>
      <w:outlineLvl w:val="1"/>
    </w:pPr>
    <w:rPr>
      <w:b/>
      <w:bCs/>
      <w:i/>
      <w:iCs/>
    </w:rPr>
  </w:style>
  <w:style w:type="paragraph" w:styleId="Titre3">
    <w:name w:val="heading 3"/>
    <w:basedOn w:val="Heading"/>
    <w:next w:val="Textbody"/>
    <w:qFormat/>
    <w:pPr>
      <w:numPr>
        <w:ilvl w:val="2"/>
        <w:numId w:val="5"/>
      </w:num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eastAsia="Times New Roman" w:hAnsi="Symbol" w:cs="Verdana"/>
    </w:rPr>
  </w:style>
  <w:style w:type="character" w:customStyle="1" w:styleId="WW8Num1z1">
    <w:name w:val="WW8Num1z1"/>
    <w:rPr>
      <w:rFonts w:ascii="OpenSymbol" w:hAnsi="OpenSymbol" w:cs="Courier New"/>
    </w:rPr>
  </w:style>
  <w:style w:type="character" w:customStyle="1" w:styleId="WW8Num2z0">
    <w:name w:val="WW8Num2z0"/>
    <w:rPr>
      <w:rFonts w:ascii="Verdana" w:eastAsia="SimSun" w:hAnsi="Verdana" w:cs="Manga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4z0">
    <w:name w:val="WW8Num4z0"/>
    <w:rPr>
      <w:rFonts w:ascii="Verdana" w:eastAsia="Times New Roman" w:hAnsi="Verdana" w:cs="Verdana"/>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Policepardfaut1">
    <w:name w:val="Police par défaut1"/>
  </w:style>
  <w:style w:type="character" w:customStyle="1" w:styleId="NumberingSymbols">
    <w:name w:val="Numbering Symbols"/>
    <w:rPr>
      <w:b/>
      <w:bCs/>
    </w:rPr>
  </w:style>
  <w:style w:type="character" w:customStyle="1" w:styleId="BulletSymbols">
    <w:name w:val="Bullet Symbols"/>
    <w:rPr>
      <w:rFonts w:ascii="OpenSymbol" w:eastAsia="OpenSymbol" w:hAnsi="OpenSymbol" w:cs="OpenSymbol"/>
    </w:rPr>
  </w:style>
  <w:style w:type="character" w:customStyle="1" w:styleId="En-tteCar">
    <w:name w:val="En-tête Car"/>
    <w:rPr>
      <w:szCs w:val="21"/>
    </w:rPr>
  </w:style>
  <w:style w:type="character" w:styleId="Numrodepage">
    <w:name w:val="page number"/>
    <w:basedOn w:val="Policepardfaut1"/>
  </w:style>
  <w:style w:type="character" w:customStyle="1" w:styleId="Puces">
    <w:name w:val="Puces"/>
    <w:rPr>
      <w:rFonts w:ascii="OpenSymbol" w:eastAsia="OpenSymbol" w:hAnsi="OpenSymbol" w:cs="OpenSymbol"/>
    </w:rPr>
  </w:style>
  <w:style w:type="paragraph" w:customStyle="1" w:styleId="Titre10">
    <w:name w:val="Titre1"/>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spacing w:after="120"/>
    </w:pPr>
  </w:style>
  <w:style w:type="paragraph" w:styleId="Liste">
    <w:name w:val="List"/>
    <w:basedOn w:val="Textbody"/>
  </w:style>
  <w:style w:type="paragraph" w:styleId="Lgende">
    <w:name w:val="caption"/>
    <w:basedOn w:val="WW-Standard"/>
    <w:qFormat/>
    <w:pPr>
      <w:suppressLineNumbers/>
      <w:spacing w:before="120" w:after="120"/>
    </w:pPr>
    <w:rPr>
      <w:i/>
      <w:iCs/>
    </w:rPr>
  </w:style>
  <w:style w:type="paragraph" w:customStyle="1" w:styleId="Index">
    <w:name w:val="Index"/>
    <w:basedOn w:val="WW-Standard"/>
    <w:pPr>
      <w:suppressLineNumbers/>
    </w:pPr>
  </w:style>
  <w:style w:type="paragraph" w:customStyle="1" w:styleId="WW-Standard">
    <w:name w:val="WW-Standard"/>
    <w:pPr>
      <w:widowControl w:val="0"/>
      <w:suppressAutoHyphens/>
      <w:textAlignment w:val="baseline"/>
    </w:pPr>
    <w:rPr>
      <w:rFonts w:eastAsia="SimSun" w:cs="Mangal"/>
      <w:kern w:val="1"/>
      <w:sz w:val="24"/>
      <w:szCs w:val="24"/>
      <w:lang w:eastAsia="zh-CN" w:bidi="hi-IN"/>
    </w:rPr>
  </w:style>
  <w:style w:type="paragraph" w:customStyle="1" w:styleId="Heading">
    <w:name w:val="Heading"/>
    <w:basedOn w:val="WW-Standard"/>
    <w:next w:val="Textbody"/>
    <w:pPr>
      <w:keepNext/>
      <w:spacing w:before="240" w:after="120"/>
    </w:pPr>
    <w:rPr>
      <w:rFonts w:ascii="Arial" w:eastAsia="Microsoft YaHei" w:hAnsi="Arial" w:cs="Arial"/>
      <w:sz w:val="28"/>
      <w:szCs w:val="28"/>
    </w:rPr>
  </w:style>
  <w:style w:type="paragraph" w:customStyle="1" w:styleId="Textbody">
    <w:name w:val="Text body"/>
    <w:basedOn w:val="WW-Standard"/>
    <w:pPr>
      <w:spacing w:after="120"/>
    </w:pPr>
  </w:style>
  <w:style w:type="paragraph" w:styleId="Pieddepage">
    <w:name w:val="footer"/>
    <w:basedOn w:val="WW-Standard"/>
    <w:pPr>
      <w:suppressLineNumbers/>
    </w:pPr>
  </w:style>
  <w:style w:type="paragraph" w:customStyle="1" w:styleId="TableContents">
    <w:name w:val="Table Contents"/>
    <w:basedOn w:val="WW-Standard"/>
    <w:pPr>
      <w:suppressLineNumbers/>
    </w:pPr>
  </w:style>
  <w:style w:type="paragraph" w:styleId="En-tte">
    <w:name w:val="header"/>
    <w:basedOn w:val="Normal"/>
    <w:rPr>
      <w:szCs w:val="21"/>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table" w:styleId="Grilledutableau">
    <w:name w:val="Table Grid"/>
    <w:basedOn w:val="TableauNormal"/>
    <w:rsid w:val="00450F2B"/>
    <w:pPr>
      <w:widowControl w:val="0"/>
      <w:suppressAutoHyphens/>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D7F39"/>
    <w:pPr>
      <w:widowControl w:val="0"/>
      <w:suppressAutoHyphens/>
      <w:autoSpaceDN w:val="0"/>
      <w:textAlignment w:val="baseline"/>
    </w:pPr>
    <w:rPr>
      <w:rFonts w:eastAsia="SimSun" w:cs="Mangal"/>
      <w:kern w:val="3"/>
      <w:sz w:val="24"/>
      <w:szCs w:val="24"/>
      <w:lang w:eastAsia="zh-CN" w:bidi="hi-IN"/>
    </w:rPr>
  </w:style>
  <w:style w:type="paragraph" w:styleId="NormalWeb">
    <w:name w:val="Normal (Web)"/>
    <w:basedOn w:val="Normal"/>
    <w:uiPriority w:val="99"/>
    <w:unhideWhenUsed/>
    <w:rsid w:val="009910D0"/>
    <w:pPr>
      <w:widowControl/>
      <w:suppressAutoHyphens w:val="0"/>
      <w:spacing w:before="100" w:beforeAutospacing="1" w:after="100" w:afterAutospacing="1"/>
      <w:textAlignment w:val="auto"/>
    </w:pPr>
    <w:rPr>
      <w:rFonts w:eastAsia="Times New Roman" w:cs="Times New Roman"/>
      <w:kern w:val="0"/>
      <w:lang w:eastAsia="fr-FR" w:bidi="ar-SA"/>
    </w:rPr>
  </w:style>
  <w:style w:type="paragraph" w:styleId="Paragraphedeliste">
    <w:name w:val="List Paragraph"/>
    <w:basedOn w:val="Normal"/>
    <w:uiPriority w:val="34"/>
    <w:qFormat/>
    <w:rsid w:val="006B3E9D"/>
    <w:pPr>
      <w:widowControl/>
      <w:suppressAutoHyphens w:val="0"/>
      <w:spacing w:after="200" w:line="276" w:lineRule="auto"/>
      <w:ind w:left="720"/>
      <w:contextualSpacing/>
      <w:textAlignment w:val="auto"/>
    </w:pPr>
    <w:rPr>
      <w:rFonts w:asciiTheme="minorHAnsi" w:eastAsiaTheme="minorHAnsi" w:hAnsiTheme="minorHAnsi" w:cstheme="minorBidi"/>
      <w:kern w:val="0"/>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4657">
      <w:bodyDiv w:val="1"/>
      <w:marLeft w:val="0"/>
      <w:marRight w:val="0"/>
      <w:marTop w:val="0"/>
      <w:marBottom w:val="0"/>
      <w:divBdr>
        <w:top w:val="none" w:sz="0" w:space="0" w:color="auto"/>
        <w:left w:val="none" w:sz="0" w:space="0" w:color="auto"/>
        <w:bottom w:val="none" w:sz="0" w:space="0" w:color="auto"/>
        <w:right w:val="none" w:sz="0" w:space="0" w:color="auto"/>
      </w:divBdr>
    </w:div>
    <w:div w:id="67075729">
      <w:bodyDiv w:val="1"/>
      <w:marLeft w:val="0"/>
      <w:marRight w:val="0"/>
      <w:marTop w:val="0"/>
      <w:marBottom w:val="0"/>
      <w:divBdr>
        <w:top w:val="none" w:sz="0" w:space="0" w:color="auto"/>
        <w:left w:val="none" w:sz="0" w:space="0" w:color="auto"/>
        <w:bottom w:val="none" w:sz="0" w:space="0" w:color="auto"/>
        <w:right w:val="none" w:sz="0" w:space="0" w:color="auto"/>
      </w:divBdr>
    </w:div>
    <w:div w:id="120345626">
      <w:bodyDiv w:val="1"/>
      <w:marLeft w:val="0"/>
      <w:marRight w:val="0"/>
      <w:marTop w:val="0"/>
      <w:marBottom w:val="0"/>
      <w:divBdr>
        <w:top w:val="none" w:sz="0" w:space="0" w:color="auto"/>
        <w:left w:val="none" w:sz="0" w:space="0" w:color="auto"/>
        <w:bottom w:val="none" w:sz="0" w:space="0" w:color="auto"/>
        <w:right w:val="none" w:sz="0" w:space="0" w:color="auto"/>
      </w:divBdr>
    </w:div>
    <w:div w:id="142545813">
      <w:bodyDiv w:val="1"/>
      <w:marLeft w:val="0"/>
      <w:marRight w:val="0"/>
      <w:marTop w:val="0"/>
      <w:marBottom w:val="0"/>
      <w:divBdr>
        <w:top w:val="none" w:sz="0" w:space="0" w:color="auto"/>
        <w:left w:val="none" w:sz="0" w:space="0" w:color="auto"/>
        <w:bottom w:val="none" w:sz="0" w:space="0" w:color="auto"/>
        <w:right w:val="none" w:sz="0" w:space="0" w:color="auto"/>
      </w:divBdr>
    </w:div>
    <w:div w:id="167521197">
      <w:bodyDiv w:val="1"/>
      <w:marLeft w:val="0"/>
      <w:marRight w:val="0"/>
      <w:marTop w:val="0"/>
      <w:marBottom w:val="0"/>
      <w:divBdr>
        <w:top w:val="none" w:sz="0" w:space="0" w:color="auto"/>
        <w:left w:val="none" w:sz="0" w:space="0" w:color="auto"/>
        <w:bottom w:val="none" w:sz="0" w:space="0" w:color="auto"/>
        <w:right w:val="none" w:sz="0" w:space="0" w:color="auto"/>
      </w:divBdr>
    </w:div>
    <w:div w:id="196625158">
      <w:bodyDiv w:val="1"/>
      <w:marLeft w:val="0"/>
      <w:marRight w:val="0"/>
      <w:marTop w:val="0"/>
      <w:marBottom w:val="0"/>
      <w:divBdr>
        <w:top w:val="none" w:sz="0" w:space="0" w:color="auto"/>
        <w:left w:val="none" w:sz="0" w:space="0" w:color="auto"/>
        <w:bottom w:val="none" w:sz="0" w:space="0" w:color="auto"/>
        <w:right w:val="none" w:sz="0" w:space="0" w:color="auto"/>
      </w:divBdr>
    </w:div>
    <w:div w:id="325785621">
      <w:bodyDiv w:val="1"/>
      <w:marLeft w:val="0"/>
      <w:marRight w:val="0"/>
      <w:marTop w:val="0"/>
      <w:marBottom w:val="0"/>
      <w:divBdr>
        <w:top w:val="none" w:sz="0" w:space="0" w:color="auto"/>
        <w:left w:val="none" w:sz="0" w:space="0" w:color="auto"/>
        <w:bottom w:val="none" w:sz="0" w:space="0" w:color="auto"/>
        <w:right w:val="none" w:sz="0" w:space="0" w:color="auto"/>
      </w:divBdr>
    </w:div>
    <w:div w:id="329412107">
      <w:bodyDiv w:val="1"/>
      <w:marLeft w:val="0"/>
      <w:marRight w:val="0"/>
      <w:marTop w:val="0"/>
      <w:marBottom w:val="0"/>
      <w:divBdr>
        <w:top w:val="none" w:sz="0" w:space="0" w:color="auto"/>
        <w:left w:val="none" w:sz="0" w:space="0" w:color="auto"/>
        <w:bottom w:val="none" w:sz="0" w:space="0" w:color="auto"/>
        <w:right w:val="none" w:sz="0" w:space="0" w:color="auto"/>
      </w:divBdr>
    </w:div>
    <w:div w:id="449906241">
      <w:bodyDiv w:val="1"/>
      <w:marLeft w:val="0"/>
      <w:marRight w:val="0"/>
      <w:marTop w:val="0"/>
      <w:marBottom w:val="0"/>
      <w:divBdr>
        <w:top w:val="none" w:sz="0" w:space="0" w:color="auto"/>
        <w:left w:val="none" w:sz="0" w:space="0" w:color="auto"/>
        <w:bottom w:val="none" w:sz="0" w:space="0" w:color="auto"/>
        <w:right w:val="none" w:sz="0" w:space="0" w:color="auto"/>
      </w:divBdr>
    </w:div>
    <w:div w:id="453644393">
      <w:bodyDiv w:val="1"/>
      <w:marLeft w:val="0"/>
      <w:marRight w:val="0"/>
      <w:marTop w:val="0"/>
      <w:marBottom w:val="0"/>
      <w:divBdr>
        <w:top w:val="none" w:sz="0" w:space="0" w:color="auto"/>
        <w:left w:val="none" w:sz="0" w:space="0" w:color="auto"/>
        <w:bottom w:val="none" w:sz="0" w:space="0" w:color="auto"/>
        <w:right w:val="none" w:sz="0" w:space="0" w:color="auto"/>
      </w:divBdr>
    </w:div>
    <w:div w:id="538708783">
      <w:bodyDiv w:val="1"/>
      <w:marLeft w:val="0"/>
      <w:marRight w:val="0"/>
      <w:marTop w:val="0"/>
      <w:marBottom w:val="0"/>
      <w:divBdr>
        <w:top w:val="none" w:sz="0" w:space="0" w:color="auto"/>
        <w:left w:val="none" w:sz="0" w:space="0" w:color="auto"/>
        <w:bottom w:val="none" w:sz="0" w:space="0" w:color="auto"/>
        <w:right w:val="none" w:sz="0" w:space="0" w:color="auto"/>
      </w:divBdr>
      <w:divsChild>
        <w:div w:id="1832287967">
          <w:marLeft w:val="274"/>
          <w:marRight w:val="0"/>
          <w:marTop w:val="0"/>
          <w:marBottom w:val="0"/>
          <w:divBdr>
            <w:top w:val="none" w:sz="0" w:space="0" w:color="auto"/>
            <w:left w:val="none" w:sz="0" w:space="0" w:color="auto"/>
            <w:bottom w:val="none" w:sz="0" w:space="0" w:color="auto"/>
            <w:right w:val="none" w:sz="0" w:space="0" w:color="auto"/>
          </w:divBdr>
        </w:div>
        <w:div w:id="1574729790">
          <w:marLeft w:val="274"/>
          <w:marRight w:val="0"/>
          <w:marTop w:val="0"/>
          <w:marBottom w:val="0"/>
          <w:divBdr>
            <w:top w:val="none" w:sz="0" w:space="0" w:color="auto"/>
            <w:left w:val="none" w:sz="0" w:space="0" w:color="auto"/>
            <w:bottom w:val="none" w:sz="0" w:space="0" w:color="auto"/>
            <w:right w:val="none" w:sz="0" w:space="0" w:color="auto"/>
          </w:divBdr>
        </w:div>
      </w:divsChild>
    </w:div>
    <w:div w:id="608703921">
      <w:bodyDiv w:val="1"/>
      <w:marLeft w:val="0"/>
      <w:marRight w:val="0"/>
      <w:marTop w:val="0"/>
      <w:marBottom w:val="0"/>
      <w:divBdr>
        <w:top w:val="none" w:sz="0" w:space="0" w:color="auto"/>
        <w:left w:val="none" w:sz="0" w:space="0" w:color="auto"/>
        <w:bottom w:val="none" w:sz="0" w:space="0" w:color="auto"/>
        <w:right w:val="none" w:sz="0" w:space="0" w:color="auto"/>
      </w:divBdr>
    </w:div>
    <w:div w:id="643857165">
      <w:bodyDiv w:val="1"/>
      <w:marLeft w:val="0"/>
      <w:marRight w:val="0"/>
      <w:marTop w:val="0"/>
      <w:marBottom w:val="0"/>
      <w:divBdr>
        <w:top w:val="none" w:sz="0" w:space="0" w:color="auto"/>
        <w:left w:val="none" w:sz="0" w:space="0" w:color="auto"/>
        <w:bottom w:val="none" w:sz="0" w:space="0" w:color="auto"/>
        <w:right w:val="none" w:sz="0" w:space="0" w:color="auto"/>
      </w:divBdr>
    </w:div>
    <w:div w:id="784734509">
      <w:bodyDiv w:val="1"/>
      <w:marLeft w:val="0"/>
      <w:marRight w:val="0"/>
      <w:marTop w:val="0"/>
      <w:marBottom w:val="0"/>
      <w:divBdr>
        <w:top w:val="none" w:sz="0" w:space="0" w:color="auto"/>
        <w:left w:val="none" w:sz="0" w:space="0" w:color="auto"/>
        <w:bottom w:val="none" w:sz="0" w:space="0" w:color="auto"/>
        <w:right w:val="none" w:sz="0" w:space="0" w:color="auto"/>
      </w:divBdr>
    </w:div>
    <w:div w:id="955137959">
      <w:bodyDiv w:val="1"/>
      <w:marLeft w:val="0"/>
      <w:marRight w:val="0"/>
      <w:marTop w:val="0"/>
      <w:marBottom w:val="0"/>
      <w:divBdr>
        <w:top w:val="none" w:sz="0" w:space="0" w:color="auto"/>
        <w:left w:val="none" w:sz="0" w:space="0" w:color="auto"/>
        <w:bottom w:val="none" w:sz="0" w:space="0" w:color="auto"/>
        <w:right w:val="none" w:sz="0" w:space="0" w:color="auto"/>
      </w:divBdr>
    </w:div>
    <w:div w:id="1055933993">
      <w:bodyDiv w:val="1"/>
      <w:marLeft w:val="0"/>
      <w:marRight w:val="0"/>
      <w:marTop w:val="0"/>
      <w:marBottom w:val="0"/>
      <w:divBdr>
        <w:top w:val="none" w:sz="0" w:space="0" w:color="auto"/>
        <w:left w:val="none" w:sz="0" w:space="0" w:color="auto"/>
        <w:bottom w:val="none" w:sz="0" w:space="0" w:color="auto"/>
        <w:right w:val="none" w:sz="0" w:space="0" w:color="auto"/>
      </w:divBdr>
    </w:div>
    <w:div w:id="1066344084">
      <w:bodyDiv w:val="1"/>
      <w:marLeft w:val="0"/>
      <w:marRight w:val="0"/>
      <w:marTop w:val="0"/>
      <w:marBottom w:val="0"/>
      <w:divBdr>
        <w:top w:val="none" w:sz="0" w:space="0" w:color="auto"/>
        <w:left w:val="none" w:sz="0" w:space="0" w:color="auto"/>
        <w:bottom w:val="none" w:sz="0" w:space="0" w:color="auto"/>
        <w:right w:val="none" w:sz="0" w:space="0" w:color="auto"/>
      </w:divBdr>
    </w:div>
    <w:div w:id="1308515386">
      <w:bodyDiv w:val="1"/>
      <w:marLeft w:val="0"/>
      <w:marRight w:val="0"/>
      <w:marTop w:val="0"/>
      <w:marBottom w:val="0"/>
      <w:divBdr>
        <w:top w:val="none" w:sz="0" w:space="0" w:color="auto"/>
        <w:left w:val="none" w:sz="0" w:space="0" w:color="auto"/>
        <w:bottom w:val="none" w:sz="0" w:space="0" w:color="auto"/>
        <w:right w:val="none" w:sz="0" w:space="0" w:color="auto"/>
      </w:divBdr>
    </w:div>
    <w:div w:id="1330479001">
      <w:bodyDiv w:val="1"/>
      <w:marLeft w:val="0"/>
      <w:marRight w:val="0"/>
      <w:marTop w:val="0"/>
      <w:marBottom w:val="0"/>
      <w:divBdr>
        <w:top w:val="none" w:sz="0" w:space="0" w:color="auto"/>
        <w:left w:val="none" w:sz="0" w:space="0" w:color="auto"/>
        <w:bottom w:val="none" w:sz="0" w:space="0" w:color="auto"/>
        <w:right w:val="none" w:sz="0" w:space="0" w:color="auto"/>
      </w:divBdr>
    </w:div>
    <w:div w:id="1354107982">
      <w:bodyDiv w:val="1"/>
      <w:marLeft w:val="0"/>
      <w:marRight w:val="0"/>
      <w:marTop w:val="0"/>
      <w:marBottom w:val="0"/>
      <w:divBdr>
        <w:top w:val="none" w:sz="0" w:space="0" w:color="auto"/>
        <w:left w:val="none" w:sz="0" w:space="0" w:color="auto"/>
        <w:bottom w:val="none" w:sz="0" w:space="0" w:color="auto"/>
        <w:right w:val="none" w:sz="0" w:space="0" w:color="auto"/>
      </w:divBdr>
    </w:div>
    <w:div w:id="1472821144">
      <w:bodyDiv w:val="1"/>
      <w:marLeft w:val="0"/>
      <w:marRight w:val="0"/>
      <w:marTop w:val="0"/>
      <w:marBottom w:val="0"/>
      <w:divBdr>
        <w:top w:val="none" w:sz="0" w:space="0" w:color="auto"/>
        <w:left w:val="none" w:sz="0" w:space="0" w:color="auto"/>
        <w:bottom w:val="none" w:sz="0" w:space="0" w:color="auto"/>
        <w:right w:val="none" w:sz="0" w:space="0" w:color="auto"/>
      </w:divBdr>
    </w:div>
    <w:div w:id="1518343880">
      <w:bodyDiv w:val="1"/>
      <w:marLeft w:val="0"/>
      <w:marRight w:val="0"/>
      <w:marTop w:val="0"/>
      <w:marBottom w:val="0"/>
      <w:divBdr>
        <w:top w:val="none" w:sz="0" w:space="0" w:color="auto"/>
        <w:left w:val="none" w:sz="0" w:space="0" w:color="auto"/>
        <w:bottom w:val="none" w:sz="0" w:space="0" w:color="auto"/>
        <w:right w:val="none" w:sz="0" w:space="0" w:color="auto"/>
      </w:divBdr>
    </w:div>
    <w:div w:id="1612855449">
      <w:bodyDiv w:val="1"/>
      <w:marLeft w:val="0"/>
      <w:marRight w:val="0"/>
      <w:marTop w:val="0"/>
      <w:marBottom w:val="0"/>
      <w:divBdr>
        <w:top w:val="none" w:sz="0" w:space="0" w:color="auto"/>
        <w:left w:val="none" w:sz="0" w:space="0" w:color="auto"/>
        <w:bottom w:val="none" w:sz="0" w:space="0" w:color="auto"/>
        <w:right w:val="none" w:sz="0" w:space="0" w:color="auto"/>
      </w:divBdr>
    </w:div>
    <w:div w:id="1655330022">
      <w:bodyDiv w:val="1"/>
      <w:marLeft w:val="0"/>
      <w:marRight w:val="0"/>
      <w:marTop w:val="0"/>
      <w:marBottom w:val="0"/>
      <w:divBdr>
        <w:top w:val="none" w:sz="0" w:space="0" w:color="auto"/>
        <w:left w:val="none" w:sz="0" w:space="0" w:color="auto"/>
        <w:bottom w:val="none" w:sz="0" w:space="0" w:color="auto"/>
        <w:right w:val="none" w:sz="0" w:space="0" w:color="auto"/>
      </w:divBdr>
    </w:div>
    <w:div w:id="1670332879">
      <w:bodyDiv w:val="1"/>
      <w:marLeft w:val="0"/>
      <w:marRight w:val="0"/>
      <w:marTop w:val="0"/>
      <w:marBottom w:val="0"/>
      <w:divBdr>
        <w:top w:val="none" w:sz="0" w:space="0" w:color="auto"/>
        <w:left w:val="none" w:sz="0" w:space="0" w:color="auto"/>
        <w:bottom w:val="none" w:sz="0" w:space="0" w:color="auto"/>
        <w:right w:val="none" w:sz="0" w:space="0" w:color="auto"/>
      </w:divBdr>
    </w:div>
    <w:div w:id="1722515195">
      <w:bodyDiv w:val="1"/>
      <w:marLeft w:val="0"/>
      <w:marRight w:val="0"/>
      <w:marTop w:val="0"/>
      <w:marBottom w:val="0"/>
      <w:divBdr>
        <w:top w:val="none" w:sz="0" w:space="0" w:color="auto"/>
        <w:left w:val="none" w:sz="0" w:space="0" w:color="auto"/>
        <w:bottom w:val="none" w:sz="0" w:space="0" w:color="auto"/>
        <w:right w:val="none" w:sz="0" w:space="0" w:color="auto"/>
      </w:divBdr>
    </w:div>
    <w:div w:id="1736851186">
      <w:bodyDiv w:val="1"/>
      <w:marLeft w:val="0"/>
      <w:marRight w:val="0"/>
      <w:marTop w:val="0"/>
      <w:marBottom w:val="0"/>
      <w:divBdr>
        <w:top w:val="none" w:sz="0" w:space="0" w:color="auto"/>
        <w:left w:val="none" w:sz="0" w:space="0" w:color="auto"/>
        <w:bottom w:val="none" w:sz="0" w:space="0" w:color="auto"/>
        <w:right w:val="none" w:sz="0" w:space="0" w:color="auto"/>
      </w:divBdr>
    </w:div>
    <w:div w:id="1789472626">
      <w:bodyDiv w:val="1"/>
      <w:marLeft w:val="0"/>
      <w:marRight w:val="0"/>
      <w:marTop w:val="0"/>
      <w:marBottom w:val="0"/>
      <w:divBdr>
        <w:top w:val="none" w:sz="0" w:space="0" w:color="auto"/>
        <w:left w:val="none" w:sz="0" w:space="0" w:color="auto"/>
        <w:bottom w:val="none" w:sz="0" w:space="0" w:color="auto"/>
        <w:right w:val="none" w:sz="0" w:space="0" w:color="auto"/>
      </w:divBdr>
    </w:div>
    <w:div w:id="1857377601">
      <w:bodyDiv w:val="1"/>
      <w:marLeft w:val="0"/>
      <w:marRight w:val="0"/>
      <w:marTop w:val="0"/>
      <w:marBottom w:val="0"/>
      <w:divBdr>
        <w:top w:val="none" w:sz="0" w:space="0" w:color="auto"/>
        <w:left w:val="none" w:sz="0" w:space="0" w:color="auto"/>
        <w:bottom w:val="none" w:sz="0" w:space="0" w:color="auto"/>
        <w:right w:val="none" w:sz="0" w:space="0" w:color="auto"/>
      </w:divBdr>
    </w:div>
    <w:div w:id="1879971683">
      <w:bodyDiv w:val="1"/>
      <w:marLeft w:val="0"/>
      <w:marRight w:val="0"/>
      <w:marTop w:val="0"/>
      <w:marBottom w:val="0"/>
      <w:divBdr>
        <w:top w:val="none" w:sz="0" w:space="0" w:color="auto"/>
        <w:left w:val="none" w:sz="0" w:space="0" w:color="auto"/>
        <w:bottom w:val="none" w:sz="0" w:space="0" w:color="auto"/>
        <w:right w:val="none" w:sz="0" w:space="0" w:color="auto"/>
      </w:divBdr>
    </w:div>
    <w:div w:id="21108544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E4D5F1315472C449DC7F3D5453E08EE" ma:contentTypeVersion="2" ma:contentTypeDescription="Crée un document." ma:contentTypeScope="" ma:versionID="83ca13e1ae11e557d610dfa47c2ac8a8">
  <xsd:schema xmlns:xsd="http://www.w3.org/2001/XMLSchema" xmlns:xs="http://www.w3.org/2001/XMLSchema" xmlns:p="http://schemas.microsoft.com/office/2006/metadata/properties" xmlns:ns2="c9f4b70c-db7f-4fd0-9b1d-ebaa300a76cc" targetNamespace="http://schemas.microsoft.com/office/2006/metadata/properties" ma:root="true" ma:fieldsID="7b2878665820b16b41fa788e0d90a871" ns2:_="">
    <xsd:import namespace="c9f4b70c-db7f-4fd0-9b1d-ebaa300a76c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f4b70c-db7f-4fd0-9b1d-ebaa300a76cc"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2479C1-56E2-4553-98BA-C5B4641D22DB}">
  <ds:schemaRefs>
    <ds:schemaRef ds:uri="http://schemas.openxmlformats.org/package/2006/metadata/core-properties"/>
    <ds:schemaRef ds:uri="http://schemas.microsoft.com/office/2006/metadata/properties"/>
    <ds:schemaRef ds:uri="http://purl.org/dc/dcmitype/"/>
    <ds:schemaRef ds:uri="http://www.w3.org/XML/1998/namespace"/>
    <ds:schemaRef ds:uri="c9f4b70c-db7f-4fd0-9b1d-ebaa300a76cc"/>
    <ds:schemaRef ds:uri="http://schemas.microsoft.com/office/2006/documentManagement/types"/>
    <ds:schemaRef ds:uri="http://purl.org/dc/terms/"/>
    <ds:schemaRef ds:uri="http://purl.org/dc/elements/1.1/"/>
    <ds:schemaRef ds:uri="http://schemas.microsoft.com/office/infopath/2007/PartnerControls"/>
  </ds:schemaRefs>
</ds:datastoreItem>
</file>

<file path=customXml/itemProps2.xml><?xml version="1.0" encoding="utf-8"?>
<ds:datastoreItem xmlns:ds="http://schemas.openxmlformats.org/officeDocument/2006/customXml" ds:itemID="{73098EE4-4516-4091-BF2A-559EBD7506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f4b70c-db7f-4fd0-9b1d-ebaa300a7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48D468-09E0-4E08-B1AB-05751C57F0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526</Words>
  <Characters>2895</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FICHE ACTION TYPE</vt:lpstr>
    </vt:vector>
  </TitlesOfParts>
  <Company>Ministère de la Santé</Company>
  <LinksUpToDate>false</LinksUpToDate>
  <CharactersWithSpaces>3415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ACTION TYPE</dc:title>
  <dc:creator>MONTIGNY henri</dc:creator>
  <cp:lastModifiedBy>Clara MOUSSAUD</cp:lastModifiedBy>
  <cp:revision>2</cp:revision>
  <cp:lastPrinted>2015-05-27T07:28:00Z</cp:lastPrinted>
  <dcterms:created xsi:type="dcterms:W3CDTF">2015-07-10T14:43:00Z</dcterms:created>
  <dcterms:modified xsi:type="dcterms:W3CDTF">2015-07-10T14:43:00Z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0x010100FE4D5F1315472C449DC7F3D5453E08EE</vt:lpwstr>
  </property>
</Properties>
</file>