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7B5" w:rsidRDefault="00F57192">
      <w:pPr>
        <w:pStyle w:val="WW-Standard"/>
        <w:spacing w:after="57"/>
        <w:jc w:val="center"/>
        <w:rPr>
          <w:rFonts w:ascii="Verdana" w:hAnsi="Verdana" w:cs="Verdana"/>
          <w:b/>
          <w:bCs/>
          <w:color w:val="17365D"/>
          <w:sz w:val="28"/>
          <w:szCs w:val="28"/>
        </w:rPr>
      </w:pPr>
      <w:r>
        <w:rPr>
          <w:rFonts w:ascii="Verdana" w:hAnsi="Verdana" w:cs="Verdana"/>
          <w:b/>
          <w:bCs/>
          <w:color w:val="17365D"/>
          <w:sz w:val="28"/>
          <w:szCs w:val="28"/>
        </w:rPr>
        <w:t>FICHE 4.4</w:t>
      </w:r>
      <w:r w:rsidR="00CC77B5">
        <w:rPr>
          <w:rFonts w:ascii="Verdana" w:hAnsi="Verdana" w:cs="Verdana"/>
          <w:b/>
          <w:bCs/>
          <w:color w:val="17365D"/>
          <w:sz w:val="28"/>
          <w:szCs w:val="28"/>
        </w:rPr>
        <w:t>.2</w:t>
      </w:r>
    </w:p>
    <w:p w:rsidR="00CC77B5" w:rsidRDefault="00CC77B5">
      <w:pPr>
        <w:pStyle w:val="WW-Standard"/>
        <w:shd w:val="clear" w:color="auto" w:fill="1F497D"/>
        <w:spacing w:after="57"/>
        <w:jc w:val="center"/>
        <w:rPr>
          <w:rFonts w:ascii="Verdana" w:hAnsi="Verdana" w:cs="Verdana"/>
          <w:b/>
          <w:bCs/>
          <w:color w:val="FFFFFF"/>
          <w:sz w:val="28"/>
          <w:szCs w:val="28"/>
        </w:rPr>
      </w:pPr>
      <w:r>
        <w:rPr>
          <w:rFonts w:ascii="Verdana" w:hAnsi="Verdana" w:cs="Verdana"/>
          <w:b/>
          <w:bCs/>
          <w:color w:val="FFFFFF"/>
          <w:sz w:val="28"/>
          <w:szCs w:val="28"/>
        </w:rPr>
        <w:t>Assurer une veille du développement de la radicalisation dans les quartiers</w:t>
      </w:r>
    </w:p>
    <w:p w:rsidR="00CC77B5" w:rsidRDefault="00CC77B5">
      <w:pPr>
        <w:pStyle w:val="WW-Standard"/>
        <w:spacing w:after="57"/>
        <w:jc w:val="center"/>
        <w:rPr>
          <w:rFonts w:ascii="Verdana" w:hAnsi="Verdana" w:cs="Verdana"/>
          <w:b/>
          <w:bCs/>
          <w:sz w:val="20"/>
          <w:szCs w:val="20"/>
        </w:rPr>
      </w:pPr>
    </w:p>
    <w:tbl>
      <w:tblPr>
        <w:tblW w:w="10881" w:type="dxa"/>
        <w:tblInd w:w="-10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3" w:type="dxa"/>
        </w:tblCellMar>
        <w:tblLook w:val="00A0"/>
      </w:tblPr>
      <w:tblGrid>
        <w:gridCol w:w="4459"/>
        <w:gridCol w:w="6422"/>
      </w:tblGrid>
      <w:tr w:rsidR="00CC77B5" w:rsidTr="00F57192">
        <w:trPr>
          <w:trHeight w:val="754"/>
        </w:trPr>
        <w:tc>
          <w:tcPr>
            <w:tcW w:w="4459" w:type="dxa"/>
            <w:shd w:val="clear" w:color="auto" w:fill="B8CCE4"/>
            <w:tcMar>
              <w:left w:w="103" w:type="dxa"/>
            </w:tcMar>
            <w:vAlign w:val="center"/>
          </w:tcPr>
          <w:p w:rsidR="00CC77B5" w:rsidRDefault="00CC77B5">
            <w:pPr>
              <w:pStyle w:val="Contenudetableau"/>
              <w:rPr>
                <w:rFonts w:ascii="Verdana" w:hAnsi="Verdana" w:cs="Verdana"/>
                <w:b/>
                <w:bCs/>
                <w:color w:val="1F497D"/>
                <w:sz w:val="20"/>
                <w:szCs w:val="20"/>
              </w:rPr>
            </w:pPr>
            <w:r>
              <w:rPr>
                <w:rFonts w:ascii="Verdana" w:hAnsi="Verdana" w:cs="Verdana"/>
                <w:b/>
                <w:bCs/>
                <w:color w:val="1F497D"/>
                <w:sz w:val="20"/>
                <w:szCs w:val="20"/>
              </w:rPr>
              <w:t>Pilier 4 Valeur de la République</w:t>
            </w:r>
          </w:p>
          <w:p w:rsidR="00CC77B5" w:rsidRDefault="00F57192">
            <w:pPr>
              <w:pStyle w:val="Contenudetableau"/>
              <w:rPr>
                <w:rFonts w:ascii="Verdana" w:hAnsi="Verdana" w:cs="Verdana"/>
                <w:b/>
                <w:bCs/>
                <w:color w:val="1F497D"/>
                <w:sz w:val="20"/>
                <w:szCs w:val="20"/>
              </w:rPr>
            </w:pPr>
            <w:r>
              <w:rPr>
                <w:rFonts w:ascii="Verdana" w:hAnsi="Verdana" w:cs="Verdana"/>
                <w:b/>
                <w:bCs/>
                <w:color w:val="1F497D"/>
                <w:sz w:val="20"/>
                <w:szCs w:val="20"/>
              </w:rPr>
              <w:t>Axe 4</w:t>
            </w:r>
            <w:r w:rsidR="00CC77B5">
              <w:rPr>
                <w:rFonts w:ascii="Verdana" w:hAnsi="Verdana" w:cs="Verdana"/>
                <w:b/>
                <w:bCs/>
                <w:color w:val="1F497D"/>
                <w:sz w:val="20"/>
                <w:szCs w:val="20"/>
              </w:rPr>
              <w:t xml:space="preserve"> Prévention de la radicalisation</w:t>
            </w:r>
          </w:p>
        </w:tc>
        <w:tc>
          <w:tcPr>
            <w:tcW w:w="6422" w:type="dxa"/>
            <w:shd w:val="clear" w:color="auto" w:fill="B8CCE4"/>
            <w:tcMar>
              <w:left w:w="103" w:type="dxa"/>
            </w:tcMar>
            <w:vAlign w:val="center"/>
          </w:tcPr>
          <w:p w:rsidR="00CC77B5" w:rsidRDefault="00CC77B5">
            <w:pPr>
              <w:pStyle w:val="Contenudetableau"/>
              <w:rPr>
                <w:rFonts w:ascii="Verdana" w:hAnsi="Verdana" w:cs="Verdana"/>
                <w:b/>
                <w:bCs/>
                <w:color w:val="1F497D"/>
                <w:sz w:val="20"/>
                <w:szCs w:val="20"/>
              </w:rPr>
            </w:pPr>
            <w:r>
              <w:rPr>
                <w:rFonts w:ascii="Verdana" w:hAnsi="Verdana" w:cs="Verdana"/>
                <w:b/>
                <w:bCs/>
                <w:color w:val="1F497D"/>
                <w:sz w:val="20"/>
                <w:szCs w:val="20"/>
              </w:rPr>
              <w:t>Enjeu : repérer les signes de phénomènes individuels ou collectifs de radicalisation dans les quartiers de la politique de la ville</w:t>
            </w:r>
          </w:p>
        </w:tc>
      </w:tr>
    </w:tbl>
    <w:p w:rsidR="00CC77B5" w:rsidRDefault="00CC77B5">
      <w:pPr>
        <w:pStyle w:val="WW-Standard"/>
        <w:spacing w:after="57"/>
        <w:rPr>
          <w:rFonts w:ascii="Verdana" w:hAnsi="Verdana" w:cs="Verdana"/>
          <w:b/>
          <w:bCs/>
          <w:color w:val="1F497D"/>
          <w:sz w:val="20"/>
          <w:szCs w:val="20"/>
        </w:rPr>
      </w:pPr>
    </w:p>
    <w:tbl>
      <w:tblPr>
        <w:tblW w:w="10854" w:type="dxa"/>
        <w:tblInd w:w="-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5" w:type="dxa"/>
          <w:right w:w="10" w:type="dxa"/>
        </w:tblCellMar>
        <w:tblLook w:val="00A0"/>
      </w:tblPr>
      <w:tblGrid>
        <w:gridCol w:w="4263"/>
        <w:gridCol w:w="6591"/>
      </w:tblGrid>
      <w:tr w:rsidR="00CC77B5" w:rsidTr="00F57192">
        <w:trPr>
          <w:trHeight w:val="150"/>
        </w:trPr>
        <w:tc>
          <w:tcPr>
            <w:tcW w:w="4263" w:type="dxa"/>
            <w:shd w:val="clear" w:color="auto" w:fill="B8CCE4"/>
            <w:tcMar>
              <w:left w:w="5" w:type="dxa"/>
            </w:tcMar>
          </w:tcPr>
          <w:p w:rsidR="00CC77B5" w:rsidRDefault="00CC77B5">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 xml:space="preserve">Contexte </w:t>
            </w:r>
          </w:p>
        </w:tc>
        <w:tc>
          <w:tcPr>
            <w:tcW w:w="6591" w:type="dxa"/>
            <w:shd w:val="clear" w:color="auto" w:fill="B8CCE4"/>
            <w:tcMar>
              <w:left w:w="5" w:type="dxa"/>
            </w:tcMar>
          </w:tcPr>
          <w:p w:rsidR="00CC77B5" w:rsidRDefault="00CC77B5">
            <w:pPr>
              <w:pStyle w:val="Contenudetableau"/>
              <w:spacing w:before="120" w:after="120"/>
              <w:jc w:val="both"/>
            </w:pPr>
            <w:r>
              <w:t>La radicalisation n’est évidemment pas que l’affaire des quartiers de la politique de la ville. Toutefois, au regard de la situation de ces territoires, il ne peut être nié que les populations vivant dans ces quartiers constituent une cible pour l’endoctrinement  radical. Or, la politique de la ville est par essence une politique préventive, une politique de proximité à destination des plus fragiles, en particulier les jeunes en rupture.</w:t>
            </w:r>
          </w:p>
        </w:tc>
      </w:tr>
      <w:tr w:rsidR="00CC77B5" w:rsidTr="00F57192">
        <w:trPr>
          <w:trHeight w:val="142"/>
        </w:trPr>
        <w:tc>
          <w:tcPr>
            <w:tcW w:w="4263" w:type="dxa"/>
            <w:shd w:val="clear" w:color="auto" w:fill="B8CCE4"/>
            <w:tcMar>
              <w:left w:w="5" w:type="dxa"/>
            </w:tcMar>
          </w:tcPr>
          <w:p w:rsidR="00CC77B5" w:rsidRDefault="00CC77B5">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Objectifs et dynamiques</w:t>
            </w:r>
          </w:p>
          <w:p w:rsidR="00CC77B5" w:rsidRDefault="00CC77B5">
            <w:pPr>
              <w:pStyle w:val="Contenudetableau"/>
              <w:spacing w:before="120" w:after="120"/>
              <w:jc w:val="both"/>
              <w:rPr>
                <w:rFonts w:ascii="Verdana" w:hAnsi="Verdana" w:cs="Verdana"/>
                <w:i/>
                <w:iCs/>
                <w:color w:val="1F497D"/>
                <w:sz w:val="16"/>
                <w:szCs w:val="16"/>
              </w:rPr>
            </w:pPr>
          </w:p>
        </w:tc>
        <w:tc>
          <w:tcPr>
            <w:tcW w:w="6591" w:type="dxa"/>
            <w:shd w:val="clear" w:color="auto" w:fill="B8CCE4"/>
            <w:tcMar>
              <w:left w:w="5" w:type="dxa"/>
            </w:tcMar>
          </w:tcPr>
          <w:p w:rsidR="00CC77B5" w:rsidRPr="00F57192" w:rsidRDefault="00CC77B5">
            <w:pPr>
              <w:pStyle w:val="Contenudetableau"/>
              <w:spacing w:before="120" w:after="120"/>
            </w:pPr>
            <w:r w:rsidRPr="00F57192">
              <w:t>Recueillir périodiquement de quelques acteurs locaux les éventuels signes d'une tendance à la radicalisation. La configuration de ce lieu d’échange peut varier d’un territoire à l’autre (cellule de veille ad hoc, CLSPD,</w:t>
            </w:r>
            <w:proofErr w:type="gramStart"/>
            <w:r w:rsidRPr="00F57192">
              <w:t>… )</w:t>
            </w:r>
            <w:proofErr w:type="gramEnd"/>
          </w:p>
          <w:p w:rsidR="00CC77B5" w:rsidRPr="0002458B" w:rsidRDefault="00CC77B5">
            <w:pPr>
              <w:pStyle w:val="Contenudetableau"/>
              <w:spacing w:before="120" w:after="120"/>
              <w:rPr>
                <w:color w:val="FF0000"/>
              </w:rPr>
            </w:pPr>
            <w:r w:rsidRPr="00F57192">
              <w:t>Favoriser l’émergence de la parole</w:t>
            </w:r>
          </w:p>
        </w:tc>
      </w:tr>
      <w:tr w:rsidR="00CC77B5" w:rsidTr="00F57192">
        <w:trPr>
          <w:trHeight w:val="170"/>
        </w:trPr>
        <w:tc>
          <w:tcPr>
            <w:tcW w:w="4263" w:type="dxa"/>
            <w:shd w:val="clear" w:color="auto" w:fill="B8CCE4"/>
            <w:tcMar>
              <w:left w:w="5" w:type="dxa"/>
            </w:tcMar>
          </w:tcPr>
          <w:p w:rsidR="00CC77B5" w:rsidRDefault="00CC77B5">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 xml:space="preserve">Réalisations attendues </w:t>
            </w:r>
          </w:p>
          <w:p w:rsidR="00CC77B5" w:rsidRDefault="00CC77B5">
            <w:pPr>
              <w:pStyle w:val="Contenudetableau"/>
              <w:spacing w:before="120" w:after="120"/>
              <w:rPr>
                <w:rFonts w:ascii="Verdana" w:hAnsi="Verdana" w:cs="Verdana"/>
                <w:b/>
                <w:bCs/>
                <w:color w:val="1F497D"/>
                <w:sz w:val="20"/>
                <w:szCs w:val="20"/>
              </w:rPr>
            </w:pPr>
          </w:p>
        </w:tc>
        <w:tc>
          <w:tcPr>
            <w:tcW w:w="6591" w:type="dxa"/>
            <w:shd w:val="clear" w:color="auto" w:fill="B8CCE4"/>
            <w:tcMar>
              <w:left w:w="5" w:type="dxa"/>
            </w:tcMar>
          </w:tcPr>
          <w:p w:rsidR="00CC77B5" w:rsidRDefault="00CC77B5">
            <w:pPr>
              <w:pStyle w:val="Contenudetableau"/>
              <w:numPr>
                <w:ilvl w:val="0"/>
                <w:numId w:val="1"/>
              </w:numPr>
              <w:jc w:val="both"/>
            </w:pPr>
            <w:r>
              <w:t xml:space="preserve">Des synthèses de propos ou de pratiques en contradiction avec les valeurs de la république, y compris l’inobservation de l’égalité femmes / homme, et le rejet de la mixité de genre  </w:t>
            </w:r>
          </w:p>
          <w:p w:rsidR="00CC77B5" w:rsidRDefault="00CC77B5">
            <w:pPr>
              <w:pStyle w:val="Contenudetableau"/>
              <w:ind w:left="720"/>
              <w:jc w:val="both"/>
            </w:pPr>
          </w:p>
          <w:p w:rsidR="00CC77B5" w:rsidRDefault="00CC77B5">
            <w:pPr>
              <w:pStyle w:val="Contenudetableau"/>
              <w:numPr>
                <w:ilvl w:val="0"/>
                <w:numId w:val="1"/>
              </w:numPr>
              <w:jc w:val="both"/>
            </w:pPr>
            <w:r>
              <w:t xml:space="preserve">L’éventuelle identification des lieux et moments sensibles en termes de radicalisation, cette dernière s’opérant aussi par un contact humain et non par la seule fréquentation d’internet </w:t>
            </w:r>
          </w:p>
          <w:p w:rsidR="00CC77B5" w:rsidRDefault="00CC77B5">
            <w:pPr>
              <w:pStyle w:val="Contenudetableau"/>
              <w:ind w:left="720"/>
              <w:jc w:val="both"/>
            </w:pPr>
          </w:p>
          <w:p w:rsidR="00CC77B5" w:rsidRPr="00F57192" w:rsidRDefault="00CC77B5">
            <w:pPr>
              <w:pStyle w:val="Contenudetableau"/>
              <w:numPr>
                <w:ilvl w:val="0"/>
                <w:numId w:val="1"/>
              </w:numPr>
              <w:jc w:val="both"/>
            </w:pPr>
            <w:r w:rsidRPr="00F57192">
              <w:t>Le repérage d’éventuelles dérives communautaristes, pratiques fondamentalistes, notamment dans le tissu associatif. Même s’il ne faut donc pas confondre radicalisation et pratique rigoriste d’une religion, il peut exister une porosité entre certains mouvements fondamentalistes et la radicalisation violente.</w:t>
            </w:r>
          </w:p>
          <w:p w:rsidR="00CC77B5" w:rsidRPr="00F57192" w:rsidRDefault="00CC77B5" w:rsidP="0002458B">
            <w:pPr>
              <w:pStyle w:val="Contenudetableau"/>
              <w:jc w:val="both"/>
            </w:pPr>
          </w:p>
          <w:p w:rsidR="00CC77B5" w:rsidRPr="00F57192" w:rsidRDefault="00CC77B5">
            <w:pPr>
              <w:pStyle w:val="Contenudetableau"/>
              <w:numPr>
                <w:ilvl w:val="0"/>
                <w:numId w:val="1"/>
              </w:numPr>
              <w:jc w:val="both"/>
            </w:pPr>
            <w:r w:rsidRPr="00F57192">
              <w:t>Développer les lieux d’accueil et d’écoute à destination des jeunes et des parents</w:t>
            </w:r>
          </w:p>
        </w:tc>
      </w:tr>
      <w:tr w:rsidR="00CC77B5" w:rsidTr="00F57192">
        <w:tc>
          <w:tcPr>
            <w:tcW w:w="4263" w:type="dxa"/>
            <w:shd w:val="clear" w:color="auto" w:fill="B8CCE4"/>
            <w:tcMar>
              <w:left w:w="5" w:type="dxa"/>
            </w:tcMar>
          </w:tcPr>
          <w:p w:rsidR="00CC77B5" w:rsidRDefault="00CC77B5">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Effets attendus</w:t>
            </w:r>
          </w:p>
        </w:tc>
        <w:tc>
          <w:tcPr>
            <w:tcW w:w="6591" w:type="dxa"/>
            <w:shd w:val="clear" w:color="auto" w:fill="B8CCE4"/>
            <w:tcMar>
              <w:left w:w="5" w:type="dxa"/>
            </w:tcMar>
          </w:tcPr>
          <w:p w:rsidR="00CC77B5" w:rsidRDefault="00CC77B5">
            <w:pPr>
              <w:pStyle w:val="Contenudetableau"/>
              <w:spacing w:before="120" w:after="120"/>
            </w:pPr>
            <w:r>
              <w:t>L’ensemble de ces informations peut permettre de proposer des actions de sensibilisation, et / ou des actions plus ciblées d’accompagnement des publics</w:t>
            </w:r>
          </w:p>
        </w:tc>
      </w:tr>
      <w:tr w:rsidR="00CC77B5" w:rsidTr="00F57192">
        <w:tc>
          <w:tcPr>
            <w:tcW w:w="4263" w:type="dxa"/>
            <w:shd w:val="clear" w:color="auto" w:fill="B8CCE4"/>
            <w:tcMar>
              <w:left w:w="5" w:type="dxa"/>
            </w:tcMar>
          </w:tcPr>
          <w:p w:rsidR="00CC77B5" w:rsidRDefault="00CC77B5">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Echelle Territoriale</w:t>
            </w:r>
          </w:p>
        </w:tc>
        <w:tc>
          <w:tcPr>
            <w:tcW w:w="6591" w:type="dxa"/>
            <w:shd w:val="clear" w:color="auto" w:fill="B8CCE4"/>
            <w:tcMar>
              <w:left w:w="5" w:type="dxa"/>
            </w:tcMar>
          </w:tcPr>
          <w:p w:rsidR="00CC77B5" w:rsidRDefault="00CC77B5">
            <w:pPr>
              <w:pStyle w:val="Contenudetableau"/>
              <w:numPr>
                <w:ilvl w:val="0"/>
                <w:numId w:val="1"/>
              </w:numPr>
              <w:spacing w:before="120" w:after="120"/>
            </w:pPr>
            <w:r>
              <w:t>A l’échelle de la Métropole, couverture de tous les quartiers</w:t>
            </w:r>
          </w:p>
        </w:tc>
      </w:tr>
      <w:tr w:rsidR="00CC77B5" w:rsidTr="00F57192">
        <w:tc>
          <w:tcPr>
            <w:tcW w:w="4263" w:type="dxa"/>
            <w:shd w:val="clear" w:color="auto" w:fill="B8CCE4"/>
            <w:tcMar>
              <w:left w:w="5" w:type="dxa"/>
            </w:tcMar>
          </w:tcPr>
          <w:p w:rsidR="00CC77B5" w:rsidRDefault="00CC77B5">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Animateur</w:t>
            </w:r>
          </w:p>
        </w:tc>
        <w:tc>
          <w:tcPr>
            <w:tcW w:w="6591" w:type="dxa"/>
            <w:shd w:val="clear" w:color="auto" w:fill="B8CCE4"/>
            <w:tcMar>
              <w:left w:w="5" w:type="dxa"/>
            </w:tcMar>
          </w:tcPr>
          <w:p w:rsidR="00CC77B5" w:rsidRDefault="00CC77B5">
            <w:pPr>
              <w:pStyle w:val="Contenudetableau"/>
              <w:numPr>
                <w:ilvl w:val="0"/>
                <w:numId w:val="1"/>
              </w:numPr>
              <w:spacing w:before="120" w:after="120"/>
            </w:pPr>
            <w:r>
              <w:t>Préfecture</w:t>
            </w:r>
          </w:p>
        </w:tc>
      </w:tr>
      <w:tr w:rsidR="00CC77B5" w:rsidTr="00F57192">
        <w:trPr>
          <w:trHeight w:val="95"/>
        </w:trPr>
        <w:tc>
          <w:tcPr>
            <w:tcW w:w="4263" w:type="dxa"/>
            <w:shd w:val="clear" w:color="auto" w:fill="B8CCE4"/>
            <w:tcMar>
              <w:left w:w="5" w:type="dxa"/>
            </w:tcMar>
          </w:tcPr>
          <w:p w:rsidR="00CC77B5" w:rsidRDefault="00CC77B5">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Partenaires mobilisables (dont habitants)</w:t>
            </w:r>
          </w:p>
          <w:p w:rsidR="00CC77B5" w:rsidRDefault="00CC77B5">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Dispositifs mobilisables</w:t>
            </w:r>
          </w:p>
        </w:tc>
        <w:tc>
          <w:tcPr>
            <w:tcW w:w="6591" w:type="dxa"/>
            <w:shd w:val="clear" w:color="auto" w:fill="B8CCE4"/>
            <w:tcMar>
              <w:left w:w="5" w:type="dxa"/>
            </w:tcMar>
          </w:tcPr>
          <w:p w:rsidR="00CC77B5" w:rsidRDefault="00CC77B5">
            <w:pPr>
              <w:pStyle w:val="Contenudetableau"/>
              <w:numPr>
                <w:ilvl w:val="0"/>
                <w:numId w:val="1"/>
              </w:numPr>
              <w:spacing w:before="120" w:after="120"/>
            </w:pPr>
            <w:r>
              <w:t>Institutionnels et acteurs de terrain</w:t>
            </w:r>
          </w:p>
          <w:p w:rsidR="00CC77B5" w:rsidRDefault="00CC77B5">
            <w:pPr>
              <w:pStyle w:val="Contenudetableau"/>
              <w:numPr>
                <w:ilvl w:val="0"/>
                <w:numId w:val="1"/>
              </w:numPr>
              <w:spacing w:before="120" w:after="120"/>
            </w:pPr>
            <w:r>
              <w:t xml:space="preserve">Bien entendu, de tels échanges d’informations ne peuvent s’exercer qu’entre acteurs sensibilisés et formés aux phénomènes de radicalisation violente, de manière à éviter </w:t>
            </w:r>
            <w:r>
              <w:lastRenderedPageBreak/>
              <w:t>toute appréciation incertaine.</w:t>
            </w:r>
          </w:p>
        </w:tc>
      </w:tr>
      <w:tr w:rsidR="00CC77B5" w:rsidTr="00F57192">
        <w:tc>
          <w:tcPr>
            <w:tcW w:w="4263" w:type="dxa"/>
            <w:shd w:val="clear" w:color="auto" w:fill="B8CCE4"/>
            <w:tcMar>
              <w:left w:w="5" w:type="dxa"/>
            </w:tcMar>
          </w:tcPr>
          <w:p w:rsidR="00CC77B5" w:rsidRDefault="00CC77B5">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lastRenderedPageBreak/>
              <w:t>Financements mobilisables</w:t>
            </w:r>
          </w:p>
          <w:p w:rsidR="00CC77B5" w:rsidRDefault="00CC77B5">
            <w:pPr>
              <w:pStyle w:val="Contenudetableau"/>
              <w:spacing w:before="120" w:after="120"/>
              <w:rPr>
                <w:rFonts w:ascii="Verdana" w:hAnsi="Verdana" w:cs="Verdana"/>
                <w:b/>
                <w:bCs/>
                <w:color w:val="1F497D"/>
                <w:sz w:val="20"/>
                <w:szCs w:val="20"/>
              </w:rPr>
            </w:pPr>
          </w:p>
        </w:tc>
        <w:tc>
          <w:tcPr>
            <w:tcW w:w="6591" w:type="dxa"/>
            <w:shd w:val="clear" w:color="auto" w:fill="B8CCE4"/>
            <w:tcMar>
              <w:left w:w="5" w:type="dxa"/>
            </w:tcMar>
          </w:tcPr>
          <w:p w:rsidR="00CC77B5" w:rsidRDefault="00CC77B5">
            <w:pPr>
              <w:pStyle w:val="Contenudetableau"/>
              <w:numPr>
                <w:ilvl w:val="0"/>
                <w:numId w:val="1"/>
              </w:numPr>
              <w:spacing w:before="120" w:after="120"/>
            </w:pPr>
            <w:r>
              <w:t>Crédits du CGET (BOP 147)</w:t>
            </w:r>
          </w:p>
          <w:p w:rsidR="00CC77B5" w:rsidRDefault="00CC77B5">
            <w:pPr>
              <w:pStyle w:val="Contenudetableau"/>
              <w:numPr>
                <w:ilvl w:val="0"/>
                <w:numId w:val="1"/>
              </w:numPr>
              <w:spacing w:before="120" w:after="120"/>
            </w:pPr>
            <w:r>
              <w:t>FIPD</w:t>
            </w:r>
          </w:p>
        </w:tc>
      </w:tr>
      <w:tr w:rsidR="00CC77B5" w:rsidTr="00F57192">
        <w:trPr>
          <w:trHeight w:val="272"/>
        </w:trPr>
        <w:tc>
          <w:tcPr>
            <w:tcW w:w="4263" w:type="dxa"/>
            <w:shd w:val="clear" w:color="auto" w:fill="B8CCE4"/>
            <w:tcMar>
              <w:left w:w="5" w:type="dxa"/>
            </w:tcMar>
          </w:tcPr>
          <w:p w:rsidR="00CC77B5" w:rsidRDefault="00CC77B5">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Calendrier</w:t>
            </w:r>
          </w:p>
        </w:tc>
        <w:tc>
          <w:tcPr>
            <w:tcW w:w="6591" w:type="dxa"/>
            <w:shd w:val="clear" w:color="auto" w:fill="B8CCE4"/>
            <w:tcMar>
              <w:left w:w="5" w:type="dxa"/>
            </w:tcMar>
          </w:tcPr>
          <w:p w:rsidR="00CC77B5" w:rsidRDefault="00CC77B5">
            <w:pPr>
              <w:pStyle w:val="Contenudetableau"/>
              <w:numPr>
                <w:ilvl w:val="0"/>
                <w:numId w:val="1"/>
              </w:numPr>
              <w:spacing w:before="120" w:after="120"/>
            </w:pPr>
            <w:r>
              <w:t>Actions annuelles</w:t>
            </w:r>
          </w:p>
        </w:tc>
      </w:tr>
      <w:tr w:rsidR="00CC77B5" w:rsidTr="00F57192">
        <w:tc>
          <w:tcPr>
            <w:tcW w:w="4263" w:type="dxa"/>
            <w:shd w:val="clear" w:color="auto" w:fill="B8CCE4"/>
            <w:tcMar>
              <w:left w:w="5" w:type="dxa"/>
            </w:tcMar>
          </w:tcPr>
          <w:p w:rsidR="00CC77B5" w:rsidRDefault="00CC77B5">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Indicateurs de réalisation</w:t>
            </w:r>
          </w:p>
        </w:tc>
        <w:tc>
          <w:tcPr>
            <w:tcW w:w="6591" w:type="dxa"/>
            <w:shd w:val="clear" w:color="auto" w:fill="B8CCE4"/>
            <w:tcMar>
              <w:left w:w="5" w:type="dxa"/>
            </w:tcMar>
          </w:tcPr>
          <w:p w:rsidR="00CC77B5" w:rsidRDefault="00CC77B5">
            <w:pPr>
              <w:pStyle w:val="Contenudetableau"/>
              <w:numPr>
                <w:ilvl w:val="0"/>
                <w:numId w:val="1"/>
              </w:numPr>
              <w:spacing w:before="120" w:after="120"/>
            </w:pPr>
            <w:r>
              <w:t>Production d’éléments d’information sur d’éventuels phénomènes de radicalisation dans le quartier et leurs spécificités le cas échéant</w:t>
            </w:r>
          </w:p>
        </w:tc>
      </w:tr>
      <w:tr w:rsidR="00CC77B5" w:rsidTr="00F57192">
        <w:tc>
          <w:tcPr>
            <w:tcW w:w="4263" w:type="dxa"/>
            <w:shd w:val="clear" w:color="auto" w:fill="B8CCE4"/>
            <w:tcMar>
              <w:left w:w="5" w:type="dxa"/>
            </w:tcMar>
          </w:tcPr>
          <w:p w:rsidR="00CC77B5" w:rsidRDefault="00CC77B5">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Indicateurs d’effet</w:t>
            </w:r>
          </w:p>
        </w:tc>
        <w:tc>
          <w:tcPr>
            <w:tcW w:w="6591" w:type="dxa"/>
            <w:shd w:val="clear" w:color="auto" w:fill="B8CCE4"/>
            <w:tcMar>
              <w:left w:w="5" w:type="dxa"/>
            </w:tcMar>
          </w:tcPr>
          <w:p w:rsidR="00CC77B5" w:rsidRDefault="00CC77B5">
            <w:pPr>
              <w:pStyle w:val="Contenudetableau"/>
              <w:numPr>
                <w:ilvl w:val="0"/>
                <w:numId w:val="1"/>
              </w:numPr>
              <w:spacing w:before="120" w:after="120"/>
            </w:pPr>
          </w:p>
        </w:tc>
      </w:tr>
      <w:tr w:rsidR="00CC77B5" w:rsidTr="00F57192">
        <w:tc>
          <w:tcPr>
            <w:tcW w:w="4263" w:type="dxa"/>
            <w:shd w:val="clear" w:color="auto" w:fill="B8CCE4"/>
            <w:tcMar>
              <w:left w:w="5" w:type="dxa"/>
            </w:tcMar>
          </w:tcPr>
          <w:p w:rsidR="00CC77B5" w:rsidRDefault="00CC77B5">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6591" w:type="dxa"/>
            <w:shd w:val="clear" w:color="auto" w:fill="B8CCE4"/>
            <w:tcMar>
              <w:left w:w="5" w:type="dxa"/>
            </w:tcMar>
          </w:tcPr>
          <w:p w:rsidR="00CC77B5" w:rsidRDefault="00F57192">
            <w:pPr>
              <w:pStyle w:val="Contenudetableau"/>
              <w:numPr>
                <w:ilvl w:val="0"/>
                <w:numId w:val="1"/>
              </w:numPr>
              <w:spacing w:before="120" w:after="120"/>
            </w:pPr>
            <w:r>
              <w:t xml:space="preserve">Fiche 441 </w:t>
            </w:r>
            <w:r w:rsidR="004934A1">
              <w:t>–</w:t>
            </w:r>
            <w:r>
              <w:t xml:space="preserve"> </w:t>
            </w:r>
            <w:r w:rsidR="004934A1">
              <w:t>Sensibilisation à la radicalisation</w:t>
            </w:r>
          </w:p>
        </w:tc>
      </w:tr>
    </w:tbl>
    <w:p w:rsidR="00CC77B5" w:rsidRDefault="00CC77B5">
      <w:pPr>
        <w:pStyle w:val="WW-Standard"/>
        <w:tabs>
          <w:tab w:val="left" w:pos="5920"/>
        </w:tabs>
        <w:spacing w:after="57"/>
        <w:rPr>
          <w:rFonts w:ascii="Verdana" w:hAnsi="Verdana" w:cs="Verdana"/>
          <w:b/>
          <w:bCs/>
          <w:sz w:val="28"/>
          <w:szCs w:val="28"/>
        </w:rPr>
      </w:pPr>
    </w:p>
    <w:p w:rsidR="00CC77B5" w:rsidRDefault="00CC77B5">
      <w:pPr>
        <w:pStyle w:val="Normal1"/>
        <w:widowControl/>
        <w:suppressAutoHyphens w:val="0"/>
        <w:textAlignment w:val="auto"/>
      </w:pPr>
    </w:p>
    <w:sectPr w:rsidR="00CC77B5" w:rsidSect="003C6923">
      <w:footerReference w:type="default" r:id="rId7"/>
      <w:pgSz w:w="11906" w:h="16838"/>
      <w:pgMar w:top="454" w:right="567" w:bottom="737" w:left="567" w:header="0" w:footer="567" w:gutter="0"/>
      <w:cols w:space="720"/>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13D" w:rsidRDefault="00BC713D" w:rsidP="003C6923">
      <w:r>
        <w:separator/>
      </w:r>
    </w:p>
  </w:endnote>
  <w:endnote w:type="continuationSeparator" w:id="0">
    <w:p w:rsidR="00BC713D" w:rsidRDefault="00BC713D" w:rsidP="003C692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7B5" w:rsidRDefault="00CC77B5">
    <w:pPr>
      <w:pStyle w:val="Pieddepage"/>
      <w:jc w:val="right"/>
      <w:rPr>
        <w:rFonts w:ascii="Verdana" w:hAnsi="Verdana" w:cs="Verdana"/>
        <w:sz w:val="16"/>
        <w:szCs w:val="16"/>
      </w:rPr>
    </w:pPr>
    <w:r>
      <w:rPr>
        <w:rFonts w:ascii="Verdana" w:hAnsi="Verdana" w:cs="Verdana"/>
        <w:sz w:val="16"/>
        <w:szCs w:val="16"/>
      </w:rPr>
      <w:t>Contrat de ville</w:t>
    </w:r>
    <w:r w:rsidR="00F57192">
      <w:rPr>
        <w:rFonts w:ascii="Verdana" w:hAnsi="Verdana" w:cs="Verdana"/>
        <w:sz w:val="16"/>
        <w:szCs w:val="16"/>
      </w:rPr>
      <w:t xml:space="preserve"> - </w:t>
    </w:r>
    <w:r>
      <w:rPr>
        <w:rFonts w:ascii="Verdana" w:hAnsi="Verdana" w:cs="Verdana"/>
        <w:sz w:val="16"/>
        <w:szCs w:val="16"/>
      </w:rPr>
      <w:t>Fiche orientation opérationnelle</w:t>
    </w:r>
  </w:p>
  <w:p w:rsidR="00CC77B5" w:rsidRDefault="00CC77B5">
    <w:pPr>
      <w:pStyle w:val="Pieddepage"/>
      <w:jc w:val="right"/>
    </w:pPr>
    <w:r>
      <w:rPr>
        <w:rFonts w:ascii="Verdana" w:hAnsi="Verdana" w:cs="Verdana"/>
        <w:sz w:val="16"/>
        <w:szCs w:val="16"/>
      </w:rPr>
      <w:t xml:space="preserve">Date de mise à jour : </w:t>
    </w:r>
    <w:r w:rsidR="00F57192">
      <w:rPr>
        <w:rFonts w:ascii="Verdana" w:hAnsi="Verdana" w:cs="Verdana"/>
        <w:sz w:val="16"/>
        <w:szCs w:val="16"/>
      </w:rPr>
      <w:t>15 novembre</w:t>
    </w:r>
    <w:r>
      <w:rPr>
        <w:rFonts w:ascii="Verdana" w:hAnsi="Verdana" w:cs="Verdana"/>
        <w:sz w:val="16"/>
        <w:szCs w:val="16"/>
      </w:rPr>
      <w:t xml:space="preserv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13D" w:rsidRDefault="00BC713D" w:rsidP="003C6923">
      <w:r>
        <w:separator/>
      </w:r>
    </w:p>
  </w:footnote>
  <w:footnote w:type="continuationSeparator" w:id="0">
    <w:p w:rsidR="00BC713D" w:rsidRDefault="00BC713D" w:rsidP="003C69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A11D2"/>
    <w:multiLevelType w:val="multilevel"/>
    <w:tmpl w:val="FFFFFFFF"/>
    <w:lvl w:ilvl="0">
      <w:start w:val="1"/>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abstractNum w:abstractNumId="1">
    <w:nsid w:val="5C3E0060"/>
    <w:multiLevelType w:val="multilevel"/>
    <w:tmpl w:val="FFFFFFF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6923"/>
    <w:rsid w:val="0002458B"/>
    <w:rsid w:val="001070BD"/>
    <w:rsid w:val="003C6923"/>
    <w:rsid w:val="003C6A02"/>
    <w:rsid w:val="004934A1"/>
    <w:rsid w:val="009F7E53"/>
    <w:rsid w:val="00BC68A1"/>
    <w:rsid w:val="00BC713D"/>
    <w:rsid w:val="00CC77B5"/>
    <w:rsid w:val="00F57192"/>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8A1"/>
  </w:style>
  <w:style w:type="paragraph" w:styleId="Titre1">
    <w:name w:val="heading 1"/>
    <w:basedOn w:val="Titre"/>
    <w:link w:val="Titre1Car"/>
    <w:uiPriority w:val="99"/>
    <w:qFormat/>
    <w:rsid w:val="00BC68A1"/>
    <w:pPr>
      <w:outlineLvl w:val="0"/>
    </w:pPr>
    <w:rPr>
      <w:b/>
      <w:bCs/>
    </w:rPr>
  </w:style>
  <w:style w:type="paragraph" w:styleId="Titre2">
    <w:name w:val="heading 2"/>
    <w:basedOn w:val="Titre"/>
    <w:link w:val="Titre2Car"/>
    <w:uiPriority w:val="99"/>
    <w:qFormat/>
    <w:rsid w:val="00BC68A1"/>
    <w:pPr>
      <w:outlineLvl w:val="1"/>
    </w:pPr>
    <w:rPr>
      <w:b/>
      <w:bCs/>
      <w:i/>
      <w:iCs/>
    </w:rPr>
  </w:style>
  <w:style w:type="paragraph" w:styleId="Titre3">
    <w:name w:val="heading 3"/>
    <w:basedOn w:val="Titre"/>
    <w:link w:val="Titre3Car"/>
    <w:uiPriority w:val="99"/>
    <w:qFormat/>
    <w:rsid w:val="00BC68A1"/>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E95735"/>
    <w:rPr>
      <w:rFonts w:ascii="Cambria" w:eastAsia="Times New Roman" w:hAnsi="Cambria" w:cs="Times New Roman"/>
      <w:b/>
      <w:bCs/>
      <w:kern w:val="32"/>
      <w:sz w:val="32"/>
      <w:szCs w:val="32"/>
    </w:rPr>
  </w:style>
  <w:style w:type="character" w:customStyle="1" w:styleId="Titre2Car">
    <w:name w:val="Titre 2 Car"/>
    <w:link w:val="Titre2"/>
    <w:uiPriority w:val="9"/>
    <w:semiHidden/>
    <w:rsid w:val="00E95735"/>
    <w:rPr>
      <w:rFonts w:ascii="Cambria" w:eastAsia="Times New Roman" w:hAnsi="Cambria" w:cs="Times New Roman"/>
      <w:b/>
      <w:bCs/>
      <w:i/>
      <w:iCs/>
      <w:sz w:val="28"/>
      <w:szCs w:val="28"/>
    </w:rPr>
  </w:style>
  <w:style w:type="character" w:customStyle="1" w:styleId="Titre3Car">
    <w:name w:val="Titre 3 Car"/>
    <w:link w:val="Titre3"/>
    <w:uiPriority w:val="9"/>
    <w:semiHidden/>
    <w:rsid w:val="00E95735"/>
    <w:rPr>
      <w:rFonts w:ascii="Cambria" w:eastAsia="Times New Roman" w:hAnsi="Cambria" w:cs="Times New Roman"/>
      <w:b/>
      <w:bCs/>
      <w:sz w:val="26"/>
      <w:szCs w:val="26"/>
    </w:rPr>
  </w:style>
  <w:style w:type="character" w:customStyle="1" w:styleId="WW8Num1z0">
    <w:name w:val="WW8Num1z0"/>
    <w:uiPriority w:val="99"/>
    <w:rsid w:val="00BC68A1"/>
    <w:rPr>
      <w:rFonts w:ascii="Symbol" w:hAnsi="Symbol" w:cs="Symbol"/>
    </w:rPr>
  </w:style>
  <w:style w:type="character" w:customStyle="1" w:styleId="WW8Num1z1">
    <w:name w:val="WW8Num1z1"/>
    <w:uiPriority w:val="99"/>
    <w:rsid w:val="00BC68A1"/>
    <w:rPr>
      <w:rFonts w:ascii="OpenSymbol" w:hAnsi="OpenSymbol" w:cs="OpenSymbol"/>
    </w:rPr>
  </w:style>
  <w:style w:type="character" w:customStyle="1" w:styleId="WW8Num2z0">
    <w:name w:val="WW8Num2z0"/>
    <w:uiPriority w:val="99"/>
    <w:rsid w:val="00BC68A1"/>
    <w:rPr>
      <w:rFonts w:ascii="Verdana" w:eastAsia="SimSun" w:hAnsi="Verdana" w:cs="Verdana"/>
    </w:rPr>
  </w:style>
  <w:style w:type="character" w:customStyle="1" w:styleId="WW8Num2z1">
    <w:name w:val="WW8Num2z1"/>
    <w:uiPriority w:val="99"/>
    <w:rsid w:val="00BC68A1"/>
    <w:rPr>
      <w:rFonts w:ascii="Courier New" w:hAnsi="Courier New" w:cs="Courier New"/>
    </w:rPr>
  </w:style>
  <w:style w:type="character" w:customStyle="1" w:styleId="WW8Num2z2">
    <w:name w:val="WW8Num2z2"/>
    <w:uiPriority w:val="99"/>
    <w:rsid w:val="00BC68A1"/>
    <w:rPr>
      <w:rFonts w:ascii="Wingdings" w:hAnsi="Wingdings" w:cs="Wingdings"/>
    </w:rPr>
  </w:style>
  <w:style w:type="character" w:customStyle="1" w:styleId="WW8Num2z3">
    <w:name w:val="WW8Num2z3"/>
    <w:uiPriority w:val="99"/>
    <w:rsid w:val="00BC68A1"/>
    <w:rPr>
      <w:rFonts w:ascii="Symbol" w:hAnsi="Symbol" w:cs="Symbol"/>
    </w:rPr>
  </w:style>
  <w:style w:type="character" w:customStyle="1" w:styleId="WW8Num4z0">
    <w:name w:val="WW8Num4z0"/>
    <w:uiPriority w:val="99"/>
    <w:rsid w:val="00BC68A1"/>
    <w:rPr>
      <w:rFonts w:ascii="Verdana" w:hAnsi="Verdana" w:cs="Verdana"/>
    </w:rPr>
  </w:style>
  <w:style w:type="character" w:customStyle="1" w:styleId="WW8Num4z1">
    <w:name w:val="WW8Num4z1"/>
    <w:uiPriority w:val="99"/>
    <w:rsid w:val="00BC68A1"/>
    <w:rPr>
      <w:rFonts w:ascii="Courier New" w:hAnsi="Courier New" w:cs="Courier New"/>
    </w:rPr>
  </w:style>
  <w:style w:type="character" w:customStyle="1" w:styleId="WW8Num4z2">
    <w:name w:val="WW8Num4z2"/>
    <w:uiPriority w:val="99"/>
    <w:rsid w:val="00BC68A1"/>
    <w:rPr>
      <w:rFonts w:ascii="Wingdings" w:hAnsi="Wingdings" w:cs="Wingdings"/>
    </w:rPr>
  </w:style>
  <w:style w:type="character" w:customStyle="1" w:styleId="WW8Num4z3">
    <w:name w:val="WW8Num4z3"/>
    <w:uiPriority w:val="99"/>
    <w:rsid w:val="00BC68A1"/>
    <w:rPr>
      <w:rFonts w:ascii="Symbol" w:hAnsi="Symbol" w:cs="Symbol"/>
    </w:rPr>
  </w:style>
  <w:style w:type="character" w:customStyle="1" w:styleId="WW8Num5z0">
    <w:name w:val="WW8Num5z0"/>
    <w:uiPriority w:val="99"/>
    <w:rsid w:val="00BC68A1"/>
    <w:rPr>
      <w:rFonts w:ascii="Symbol" w:hAnsi="Symbol" w:cs="Symbol"/>
    </w:rPr>
  </w:style>
  <w:style w:type="character" w:customStyle="1" w:styleId="WW8Num5z1">
    <w:name w:val="WW8Num5z1"/>
    <w:uiPriority w:val="99"/>
    <w:rsid w:val="00BC68A1"/>
    <w:rPr>
      <w:rFonts w:ascii="OpenSymbol" w:hAnsi="OpenSymbol" w:cs="OpenSymbol"/>
    </w:rPr>
  </w:style>
  <w:style w:type="character" w:customStyle="1" w:styleId="WW8Num5z2">
    <w:name w:val="WW8Num5z2"/>
    <w:uiPriority w:val="99"/>
    <w:rsid w:val="00BC68A1"/>
    <w:rPr>
      <w:rFonts w:ascii="Wingdings" w:hAnsi="Wingdings" w:cs="Wingdings"/>
    </w:rPr>
  </w:style>
  <w:style w:type="character" w:customStyle="1" w:styleId="WW8Num5z3">
    <w:name w:val="WW8Num5z3"/>
    <w:uiPriority w:val="99"/>
    <w:rsid w:val="00BC68A1"/>
    <w:rPr>
      <w:rFonts w:ascii="Symbol" w:hAnsi="Symbol" w:cs="Symbol"/>
    </w:rPr>
  </w:style>
  <w:style w:type="character" w:customStyle="1" w:styleId="WW8Num6z0">
    <w:name w:val="WW8Num6z0"/>
    <w:uiPriority w:val="99"/>
    <w:rsid w:val="00BC68A1"/>
    <w:rPr>
      <w:rFonts w:ascii="Symbol" w:hAnsi="Symbol" w:cs="Symbol"/>
    </w:rPr>
  </w:style>
  <w:style w:type="character" w:customStyle="1" w:styleId="WW8Num6z1">
    <w:name w:val="WW8Num6z1"/>
    <w:uiPriority w:val="99"/>
    <w:rsid w:val="00BC68A1"/>
    <w:rPr>
      <w:rFonts w:ascii="OpenSymbol" w:hAnsi="OpenSymbol" w:cs="OpenSymbol"/>
    </w:rPr>
  </w:style>
  <w:style w:type="character" w:customStyle="1" w:styleId="Policepardfaut1">
    <w:name w:val="Police par défaut1"/>
    <w:uiPriority w:val="99"/>
    <w:rsid w:val="00BC68A1"/>
  </w:style>
  <w:style w:type="character" w:customStyle="1" w:styleId="Caractresdenumrotation">
    <w:name w:val="Caractères de numérotation"/>
    <w:uiPriority w:val="99"/>
    <w:rsid w:val="00BC68A1"/>
    <w:rPr>
      <w:b/>
      <w:bCs/>
    </w:rPr>
  </w:style>
  <w:style w:type="character" w:customStyle="1" w:styleId="Bullets">
    <w:name w:val="Bullets"/>
    <w:uiPriority w:val="99"/>
    <w:rsid w:val="00BC68A1"/>
    <w:rPr>
      <w:rFonts w:ascii="OpenSymbol" w:eastAsia="Times New Roman" w:hAnsi="OpenSymbol" w:cs="OpenSymbol"/>
    </w:rPr>
  </w:style>
  <w:style w:type="character" w:customStyle="1" w:styleId="En-tteCar">
    <w:name w:val="En-tête Car"/>
    <w:uiPriority w:val="99"/>
    <w:rsid w:val="00BC68A1"/>
    <w:rPr>
      <w:sz w:val="21"/>
      <w:szCs w:val="21"/>
    </w:rPr>
  </w:style>
  <w:style w:type="character" w:styleId="Numrodepage">
    <w:name w:val="page number"/>
    <w:basedOn w:val="Policepardfaut1"/>
    <w:uiPriority w:val="99"/>
    <w:rsid w:val="00BC68A1"/>
  </w:style>
  <w:style w:type="character" w:customStyle="1" w:styleId="Puces">
    <w:name w:val="Puces"/>
    <w:uiPriority w:val="99"/>
    <w:rsid w:val="00BC68A1"/>
    <w:rPr>
      <w:rFonts w:ascii="OpenSymbol" w:eastAsia="Times New Roman" w:hAnsi="OpenSymbol" w:cs="OpenSymbol"/>
    </w:rPr>
  </w:style>
  <w:style w:type="character" w:customStyle="1" w:styleId="ListLabel1">
    <w:name w:val="ListLabel 1"/>
    <w:uiPriority w:val="99"/>
    <w:rsid w:val="00BC68A1"/>
  </w:style>
  <w:style w:type="character" w:customStyle="1" w:styleId="ListLabel2">
    <w:name w:val="ListLabel 2"/>
    <w:uiPriority w:val="99"/>
    <w:rsid w:val="00BC68A1"/>
    <w:rPr>
      <w:rFonts w:eastAsia="SimSun"/>
    </w:rPr>
  </w:style>
  <w:style w:type="character" w:customStyle="1" w:styleId="ListLabel3">
    <w:name w:val="ListLabel 3"/>
    <w:uiPriority w:val="99"/>
    <w:rsid w:val="00BC68A1"/>
  </w:style>
  <w:style w:type="character" w:customStyle="1" w:styleId="En-tteCar1">
    <w:name w:val="En-tête Car1"/>
    <w:basedOn w:val="Policepardfaut"/>
    <w:uiPriority w:val="99"/>
    <w:rsid w:val="00BC68A1"/>
  </w:style>
  <w:style w:type="character" w:customStyle="1" w:styleId="PieddepageCar">
    <w:name w:val="Pied de page Car"/>
    <w:basedOn w:val="Policepardfaut"/>
    <w:link w:val="Pieddepage"/>
    <w:uiPriority w:val="99"/>
    <w:locked/>
    <w:rsid w:val="00BC68A1"/>
  </w:style>
  <w:style w:type="character" w:customStyle="1" w:styleId="ListLabel4">
    <w:name w:val="ListLabel 4"/>
    <w:uiPriority w:val="99"/>
    <w:rsid w:val="003C6923"/>
  </w:style>
  <w:style w:type="character" w:customStyle="1" w:styleId="ListLabel5">
    <w:name w:val="ListLabel 5"/>
    <w:uiPriority w:val="99"/>
    <w:rsid w:val="003C6923"/>
  </w:style>
  <w:style w:type="character" w:customStyle="1" w:styleId="ListLabel6">
    <w:name w:val="ListLabel 6"/>
    <w:uiPriority w:val="99"/>
    <w:rsid w:val="003C6923"/>
  </w:style>
  <w:style w:type="character" w:customStyle="1" w:styleId="ListLabel7">
    <w:name w:val="ListLabel 7"/>
    <w:uiPriority w:val="99"/>
    <w:rsid w:val="003C6923"/>
  </w:style>
  <w:style w:type="character" w:customStyle="1" w:styleId="ListLabel8">
    <w:name w:val="ListLabel 8"/>
    <w:uiPriority w:val="99"/>
    <w:rsid w:val="003C6923"/>
  </w:style>
  <w:style w:type="character" w:customStyle="1" w:styleId="ListLabel9">
    <w:name w:val="ListLabel 9"/>
    <w:uiPriority w:val="99"/>
    <w:rsid w:val="003C6923"/>
  </w:style>
  <w:style w:type="character" w:customStyle="1" w:styleId="ListLabel10">
    <w:name w:val="ListLabel 10"/>
    <w:uiPriority w:val="99"/>
    <w:rsid w:val="003C6923"/>
  </w:style>
  <w:style w:type="character" w:customStyle="1" w:styleId="ListLabel11">
    <w:name w:val="ListLabel 11"/>
    <w:uiPriority w:val="99"/>
    <w:rsid w:val="003C6923"/>
  </w:style>
  <w:style w:type="character" w:customStyle="1" w:styleId="ListLabel12">
    <w:name w:val="ListLabel 12"/>
    <w:uiPriority w:val="99"/>
    <w:rsid w:val="003C6923"/>
  </w:style>
  <w:style w:type="paragraph" w:styleId="Titre">
    <w:name w:val="Title"/>
    <w:basedOn w:val="Normal"/>
    <w:next w:val="Corpsdetexte"/>
    <w:link w:val="TitreCar"/>
    <w:uiPriority w:val="99"/>
    <w:qFormat/>
    <w:rsid w:val="00BC68A1"/>
    <w:pPr>
      <w:keepNext/>
      <w:widowControl w:val="0"/>
      <w:spacing w:before="240" w:after="120"/>
    </w:pPr>
    <w:rPr>
      <w:rFonts w:ascii="Arial" w:eastAsia="Microsoft YaHei" w:hAnsi="Arial" w:cs="Arial"/>
      <w:sz w:val="28"/>
      <w:szCs w:val="28"/>
    </w:rPr>
  </w:style>
  <w:style w:type="character" w:customStyle="1" w:styleId="TitreCar">
    <w:name w:val="Titre Car"/>
    <w:link w:val="Titre"/>
    <w:uiPriority w:val="10"/>
    <w:rsid w:val="00E95735"/>
    <w:rPr>
      <w:rFonts w:ascii="Cambria" w:eastAsia="Times New Roman" w:hAnsi="Cambria" w:cs="Times New Roman"/>
      <w:b/>
      <w:bCs/>
      <w:kern w:val="28"/>
      <w:sz w:val="32"/>
      <w:szCs w:val="32"/>
    </w:rPr>
  </w:style>
  <w:style w:type="paragraph" w:styleId="Corpsdetexte">
    <w:name w:val="Body Text"/>
    <w:basedOn w:val="Normal"/>
    <w:link w:val="CorpsdetexteCar"/>
    <w:uiPriority w:val="99"/>
    <w:rsid w:val="003C6923"/>
    <w:pPr>
      <w:spacing w:after="140" w:line="288" w:lineRule="auto"/>
    </w:pPr>
  </w:style>
  <w:style w:type="character" w:customStyle="1" w:styleId="CorpsdetexteCar">
    <w:name w:val="Corps de texte Car"/>
    <w:link w:val="Corpsdetexte"/>
    <w:uiPriority w:val="99"/>
    <w:semiHidden/>
    <w:rsid w:val="00E95735"/>
    <w:rPr>
      <w:sz w:val="20"/>
      <w:szCs w:val="20"/>
    </w:rPr>
  </w:style>
  <w:style w:type="paragraph" w:styleId="Liste">
    <w:name w:val="List"/>
    <w:basedOn w:val="TextBody"/>
    <w:uiPriority w:val="99"/>
    <w:rsid w:val="00BC68A1"/>
  </w:style>
  <w:style w:type="paragraph" w:styleId="Lgende">
    <w:name w:val="caption"/>
    <w:basedOn w:val="Normal1"/>
    <w:uiPriority w:val="99"/>
    <w:qFormat/>
    <w:rsid w:val="00BC68A1"/>
    <w:pPr>
      <w:suppressLineNumbers/>
      <w:spacing w:before="120" w:after="120"/>
      <w:textAlignment w:val="auto"/>
    </w:pPr>
    <w:rPr>
      <w:rFonts w:eastAsia="Times New Roman"/>
      <w:i/>
      <w:iCs/>
      <w:lang w:eastAsia="fr-FR"/>
    </w:rPr>
  </w:style>
  <w:style w:type="paragraph" w:customStyle="1" w:styleId="Index">
    <w:name w:val="Index"/>
    <w:basedOn w:val="Normal"/>
    <w:uiPriority w:val="99"/>
    <w:rsid w:val="00BC68A1"/>
    <w:pPr>
      <w:widowControl w:val="0"/>
      <w:suppressLineNumbers/>
      <w:suppressAutoHyphens/>
    </w:pPr>
    <w:rPr>
      <w:sz w:val="24"/>
      <w:szCs w:val="24"/>
    </w:rPr>
  </w:style>
  <w:style w:type="paragraph" w:customStyle="1" w:styleId="Normal1">
    <w:name w:val="Normal1"/>
    <w:uiPriority w:val="99"/>
    <w:rsid w:val="00BC68A1"/>
    <w:pPr>
      <w:widowControl w:val="0"/>
      <w:suppressAutoHyphens/>
      <w:textAlignment w:val="baseline"/>
    </w:pPr>
    <w:rPr>
      <w:rFonts w:eastAsia="SimSun"/>
      <w:sz w:val="24"/>
      <w:szCs w:val="24"/>
      <w:lang w:eastAsia="zh-CN"/>
    </w:rPr>
  </w:style>
  <w:style w:type="paragraph" w:customStyle="1" w:styleId="TextBody">
    <w:name w:val="Text Body"/>
    <w:uiPriority w:val="99"/>
    <w:rsid w:val="00BC68A1"/>
    <w:pPr>
      <w:widowControl w:val="0"/>
      <w:spacing w:after="120" w:line="288" w:lineRule="auto"/>
    </w:pPr>
  </w:style>
  <w:style w:type="paragraph" w:customStyle="1" w:styleId="Titre10">
    <w:name w:val="Titre1"/>
    <w:basedOn w:val="Normal1"/>
    <w:uiPriority w:val="99"/>
    <w:rsid w:val="00BC68A1"/>
    <w:pPr>
      <w:keepNext/>
      <w:spacing w:before="240" w:after="120"/>
    </w:pPr>
    <w:rPr>
      <w:rFonts w:ascii="Arial" w:eastAsia="Microsoft YaHei" w:hAnsi="Arial" w:cs="Arial"/>
      <w:sz w:val="28"/>
      <w:szCs w:val="28"/>
    </w:rPr>
  </w:style>
  <w:style w:type="paragraph" w:customStyle="1" w:styleId="WW-Standard">
    <w:name w:val="WW-Standard"/>
    <w:uiPriority w:val="99"/>
    <w:rsid w:val="00BC68A1"/>
    <w:pPr>
      <w:widowControl w:val="0"/>
      <w:suppressAutoHyphens/>
      <w:textAlignment w:val="baseline"/>
    </w:pPr>
    <w:rPr>
      <w:rFonts w:eastAsia="SimSun"/>
      <w:sz w:val="24"/>
      <w:szCs w:val="24"/>
      <w:lang w:eastAsia="zh-CN"/>
    </w:rPr>
  </w:style>
  <w:style w:type="paragraph" w:styleId="Pieddepage">
    <w:name w:val="footer"/>
    <w:basedOn w:val="Normal"/>
    <w:link w:val="PieddepageCar"/>
    <w:uiPriority w:val="99"/>
    <w:rsid w:val="00BC68A1"/>
    <w:pPr>
      <w:tabs>
        <w:tab w:val="center" w:pos="4536"/>
        <w:tab w:val="right" w:pos="9072"/>
      </w:tabs>
    </w:pPr>
  </w:style>
  <w:style w:type="character" w:customStyle="1" w:styleId="FooterChar">
    <w:name w:val="Footer Char"/>
    <w:uiPriority w:val="99"/>
    <w:semiHidden/>
    <w:rsid w:val="00E95735"/>
    <w:rPr>
      <w:sz w:val="20"/>
      <w:szCs w:val="20"/>
    </w:rPr>
  </w:style>
  <w:style w:type="paragraph" w:customStyle="1" w:styleId="Contenudetableau">
    <w:name w:val="Contenu de tableau"/>
    <w:basedOn w:val="Normal1"/>
    <w:uiPriority w:val="99"/>
    <w:rsid w:val="00BC68A1"/>
    <w:pPr>
      <w:suppressLineNumbers/>
    </w:pPr>
  </w:style>
  <w:style w:type="paragraph" w:styleId="En-tte">
    <w:name w:val="header"/>
    <w:basedOn w:val="Normal"/>
    <w:link w:val="En-tteCar2"/>
    <w:uiPriority w:val="99"/>
    <w:rsid w:val="00BC68A1"/>
    <w:pPr>
      <w:tabs>
        <w:tab w:val="center" w:pos="4536"/>
        <w:tab w:val="right" w:pos="9072"/>
      </w:tabs>
    </w:pPr>
  </w:style>
  <w:style w:type="character" w:customStyle="1" w:styleId="En-tteCar2">
    <w:name w:val="En-tête Car2"/>
    <w:link w:val="En-tte"/>
    <w:uiPriority w:val="99"/>
    <w:semiHidden/>
    <w:rsid w:val="00E95735"/>
    <w:rPr>
      <w:sz w:val="20"/>
      <w:szCs w:val="20"/>
    </w:rPr>
  </w:style>
  <w:style w:type="paragraph" w:customStyle="1" w:styleId="Titredetableau">
    <w:name w:val="Titre de tableau"/>
    <w:basedOn w:val="Contenudetableau"/>
    <w:uiPriority w:val="99"/>
    <w:rsid w:val="00BC68A1"/>
    <w:pPr>
      <w:jc w:val="center"/>
    </w:pPr>
    <w:rPr>
      <w:b/>
      <w:bCs/>
    </w:rPr>
  </w:style>
  <w:style w:type="paragraph" w:styleId="NormalWeb">
    <w:name w:val="Normal (Web)"/>
    <w:basedOn w:val="Normal1"/>
    <w:uiPriority w:val="99"/>
    <w:rsid w:val="00BC68A1"/>
    <w:pPr>
      <w:widowControl/>
      <w:suppressAutoHyphens w:val="0"/>
      <w:spacing w:before="280" w:after="280"/>
      <w:textAlignment w:val="auto"/>
    </w:pPr>
    <w:rPr>
      <w:rFonts w:eastAsia="Times New Roman"/>
      <w:lang w:eastAsia="fr-FR"/>
    </w:rPr>
  </w:style>
  <w:style w:type="table" w:styleId="Grilledutableau">
    <w:name w:val="Table Grid"/>
    <w:basedOn w:val="TableauNormal"/>
    <w:uiPriority w:val="99"/>
    <w:rsid w:val="00BC68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uiPriority w:val="99"/>
    <w:semiHidden/>
    <w:unhideWhenUsed/>
    <w:rsid w:val="003C6A02"/>
    <w:rPr>
      <w:sz w:val="16"/>
      <w:szCs w:val="16"/>
    </w:rPr>
  </w:style>
  <w:style w:type="paragraph" w:styleId="Commentaire">
    <w:name w:val="annotation text"/>
    <w:basedOn w:val="Normal"/>
    <w:link w:val="CommentaireCar"/>
    <w:uiPriority w:val="99"/>
    <w:semiHidden/>
    <w:unhideWhenUsed/>
    <w:rsid w:val="003C6A02"/>
  </w:style>
  <w:style w:type="character" w:customStyle="1" w:styleId="CommentaireCar">
    <w:name w:val="Commentaire Car"/>
    <w:link w:val="Commentaire"/>
    <w:uiPriority w:val="99"/>
    <w:semiHidden/>
    <w:rsid w:val="003C6A02"/>
    <w:rPr>
      <w:sz w:val="20"/>
      <w:szCs w:val="20"/>
    </w:rPr>
  </w:style>
  <w:style w:type="paragraph" w:styleId="Objetducommentaire">
    <w:name w:val="annotation subject"/>
    <w:basedOn w:val="Commentaire"/>
    <w:next w:val="Commentaire"/>
    <w:link w:val="ObjetducommentaireCar"/>
    <w:uiPriority w:val="99"/>
    <w:semiHidden/>
    <w:unhideWhenUsed/>
    <w:rsid w:val="003C6A02"/>
    <w:rPr>
      <w:b/>
      <w:bCs/>
    </w:rPr>
  </w:style>
  <w:style w:type="character" w:customStyle="1" w:styleId="ObjetducommentaireCar">
    <w:name w:val="Objet du commentaire Car"/>
    <w:link w:val="Objetducommentaire"/>
    <w:uiPriority w:val="99"/>
    <w:semiHidden/>
    <w:rsid w:val="003C6A02"/>
    <w:rPr>
      <w:b/>
      <w:bCs/>
      <w:sz w:val="20"/>
      <w:szCs w:val="20"/>
    </w:rPr>
  </w:style>
  <w:style w:type="paragraph" w:styleId="Textedebulles">
    <w:name w:val="Balloon Text"/>
    <w:basedOn w:val="Normal"/>
    <w:link w:val="TextedebullesCar"/>
    <w:uiPriority w:val="99"/>
    <w:semiHidden/>
    <w:unhideWhenUsed/>
    <w:rsid w:val="003C6A02"/>
    <w:rPr>
      <w:rFonts w:ascii="Tahoma" w:hAnsi="Tahoma" w:cs="Tahoma"/>
      <w:sz w:val="16"/>
      <w:szCs w:val="16"/>
    </w:rPr>
  </w:style>
  <w:style w:type="character" w:customStyle="1" w:styleId="TextedebullesCar">
    <w:name w:val="Texte de bulles Car"/>
    <w:link w:val="Textedebulles"/>
    <w:uiPriority w:val="99"/>
    <w:semiHidden/>
    <w:rsid w:val="003C6A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404</Words>
  <Characters>2387</Characters>
  <Application>Microsoft Office Word</Application>
  <DocSecurity>0</DocSecurity>
  <Lines>19</Lines>
  <Paragraphs>5</Paragraphs>
  <ScaleCrop>false</ScaleCrop>
  <Company>MSS</Company>
  <LinksUpToDate>false</LinksUpToDate>
  <CharactersWithSpaces>2786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subject/>
  <dc:creator>MONTIGNY henri</dc:creator>
  <cp:keywords/>
  <dc:description/>
  <cp:lastModifiedBy>R.V. (DDCS) </cp:lastModifiedBy>
  <cp:revision>8</cp:revision>
  <cp:lastPrinted>2015-05-27T07:28:00Z</cp:lastPrinted>
  <dcterms:created xsi:type="dcterms:W3CDTF">2017-08-31T12:46:00Z</dcterms:created>
  <dcterms:modified xsi:type="dcterms:W3CDTF">2017-11-08T11:42:00Z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MSS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