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EDE8D" w14:textId="77777777" w:rsidR="00141401" w:rsidRPr="008D57C0" w:rsidRDefault="00806B91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FICHE </w:t>
      </w:r>
      <w:r w:rsidR="00AF6772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2.1.1</w:t>
      </w:r>
    </w:p>
    <w:p w14:paraId="0D54D751" w14:textId="77777777" w:rsidR="001E7E9D" w:rsidRDefault="00AF6772" w:rsidP="00AF6772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AF6772">
        <w:rPr>
          <w:rFonts w:ascii="Verdana" w:hAnsi="Verdana" w:cs="Verdana"/>
          <w:b/>
          <w:bCs/>
          <w:color w:val="FFFFFF"/>
          <w:sz w:val="28"/>
          <w:szCs w:val="28"/>
        </w:rPr>
        <w:t xml:space="preserve">POURSUIVRE LA DYNAMIQUE DE REQUALIFICATION, </w:t>
      </w:r>
      <w:r w:rsidR="001E7E9D">
        <w:rPr>
          <w:rFonts w:ascii="Verdana" w:hAnsi="Verdana" w:cs="Verdana"/>
          <w:b/>
          <w:bCs/>
          <w:color w:val="FFFFFF"/>
          <w:sz w:val="28"/>
          <w:szCs w:val="28"/>
        </w:rPr>
        <w:t>D’</w:t>
      </w:r>
      <w:r w:rsidRPr="00AF6772">
        <w:rPr>
          <w:rFonts w:ascii="Verdana" w:hAnsi="Verdana" w:cs="Verdana"/>
          <w:b/>
          <w:bCs/>
          <w:color w:val="FFFFFF"/>
          <w:sz w:val="28"/>
          <w:szCs w:val="28"/>
        </w:rPr>
        <w:t xml:space="preserve">ADAPTATION ET </w:t>
      </w:r>
      <w:r w:rsidR="001E7E9D">
        <w:rPr>
          <w:rFonts w:ascii="Verdana" w:hAnsi="Verdana" w:cs="Verdana"/>
          <w:b/>
          <w:bCs/>
          <w:color w:val="FFFFFF"/>
          <w:sz w:val="28"/>
          <w:szCs w:val="28"/>
        </w:rPr>
        <w:t xml:space="preserve">DE </w:t>
      </w:r>
      <w:r w:rsidRPr="00AF6772">
        <w:rPr>
          <w:rFonts w:ascii="Verdana" w:hAnsi="Verdana" w:cs="Verdana"/>
          <w:b/>
          <w:bCs/>
          <w:color w:val="FFFFFF"/>
          <w:sz w:val="28"/>
          <w:szCs w:val="28"/>
        </w:rPr>
        <w:t xml:space="preserve">DIVERSIFICATION DE L’HABITAT PUBLIC </w:t>
      </w:r>
    </w:p>
    <w:p w14:paraId="04898C9A" w14:textId="77777777" w:rsidR="00AF6772" w:rsidRPr="00AF6772" w:rsidRDefault="00AF6772" w:rsidP="00AF6772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AF6772">
        <w:rPr>
          <w:rFonts w:ascii="Verdana" w:hAnsi="Verdana" w:cs="Verdana"/>
          <w:b/>
          <w:bCs/>
          <w:color w:val="FFFFFF"/>
          <w:sz w:val="28"/>
          <w:szCs w:val="28"/>
        </w:rPr>
        <w:t>ET DEVELOPPER L’INTERVENTION SUR LE PARC PRIVE</w:t>
      </w:r>
    </w:p>
    <w:p w14:paraId="6B9CD153" w14:textId="77777777"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B8CCE4"/>
        <w:tblLook w:val="01E0" w:firstRow="1" w:lastRow="1" w:firstColumn="1" w:lastColumn="1" w:noHBand="0" w:noVBand="0"/>
      </w:tblPr>
      <w:tblGrid>
        <w:gridCol w:w="2430"/>
        <w:gridCol w:w="8445"/>
      </w:tblGrid>
      <w:tr w:rsidR="00611755" w:rsidRPr="00243AF9" w14:paraId="2ABB5E7E" w14:textId="77777777" w:rsidTr="046E7ABB">
        <w:trPr>
          <w:trHeight w:val="754"/>
        </w:trPr>
        <w:tc>
          <w:tcPr>
            <w:tcW w:w="2430" w:type="dxa"/>
            <w:shd w:val="clear" w:color="auto" w:fill="B8CCE4" w:themeFill="accent1" w:themeFillTint="66"/>
            <w:vAlign w:val="center"/>
          </w:tcPr>
          <w:p w14:paraId="0DDD4852" w14:textId="77777777"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AF677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2</w:t>
            </w:r>
          </w:p>
          <w:p w14:paraId="424BFCC0" w14:textId="77777777" w:rsidR="005F0153" w:rsidRPr="00243AF9" w:rsidRDefault="00611755" w:rsidP="00BE417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AF677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1</w:t>
            </w:r>
          </w:p>
        </w:tc>
        <w:tc>
          <w:tcPr>
            <w:tcW w:w="8445" w:type="dxa"/>
            <w:shd w:val="clear" w:color="auto" w:fill="B8CCE4" w:themeFill="accent1" w:themeFillTint="66"/>
            <w:vAlign w:val="center"/>
          </w:tcPr>
          <w:p w14:paraId="5313730D" w14:textId="77777777" w:rsidR="00611755" w:rsidRPr="00405EFC" w:rsidRDefault="00806B91" w:rsidP="00860E13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48178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: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AF6772" w:rsidRPr="00AF677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Renouveler la ville et diversifier ses fonctions</w:t>
            </w:r>
          </w:p>
        </w:tc>
      </w:tr>
    </w:tbl>
    <w:p w14:paraId="37A8579A" w14:textId="77777777"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7"/>
        <w:gridCol w:w="8317"/>
      </w:tblGrid>
      <w:tr w:rsidR="00611755" w:rsidRPr="00243AF9" w14:paraId="64D72128" w14:textId="77777777" w:rsidTr="20DFC242">
        <w:trPr>
          <w:trHeight w:val="150"/>
        </w:trPr>
        <w:tc>
          <w:tcPr>
            <w:tcW w:w="2535" w:type="dxa"/>
            <w:shd w:val="clear" w:color="auto" w:fill="B8CCE4" w:themeFill="accent1" w:themeFillTint="66"/>
          </w:tcPr>
          <w:p w14:paraId="1042AE9F" w14:textId="77777777" w:rsid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14:paraId="0D1CB3EB" w14:textId="1D4D6243" w:rsidR="00611755" w:rsidRPr="00611755" w:rsidRDefault="00611755" w:rsidP="006F549A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310" w:type="dxa"/>
            <w:shd w:val="clear" w:color="auto" w:fill="B8CCE4" w:themeFill="accent1" w:themeFillTint="66"/>
          </w:tcPr>
          <w:p w14:paraId="10EDDA9B" w14:textId="77777777" w:rsidR="00E35A3B" w:rsidRPr="00E35A3B" w:rsidRDefault="00E35A3B" w:rsidP="046E7ABB">
            <w:pPr>
              <w:pStyle w:val="TableContents"/>
              <w:numPr>
                <w:ilvl w:val="0"/>
                <w:numId w:val="1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Le parc de logement locatif social est très fortement concentré (à 87%) sur les 4 communes qui accueillent des quartiers prioritaires, dont 59% pour la seule ville de Tours. Néanmoins, </w:t>
            </w:r>
            <w:r w:rsidR="001E7E9D"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trois quartiers prioritaires (Rabière, Rabaterie et Bords de Loire) et quatre quartiers de veille (Le </w:t>
            </w:r>
            <w:proofErr w:type="spellStart"/>
            <w:r w:rsidR="001E7E9D"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Morier</w:t>
            </w:r>
            <w:proofErr w:type="spellEnd"/>
            <w:r w:rsidR="001E7E9D"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, Vallée Violette, </w:t>
            </w:r>
            <w:proofErr w:type="spellStart"/>
            <w:r w:rsidR="001E7E9D"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Bergeonnerie</w:t>
            </w:r>
            <w:proofErr w:type="spellEnd"/>
            <w:r w:rsidR="001E7E9D"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et le Petit Plessis) présentent</w:t>
            </w: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</w:t>
            </w:r>
            <w:r w:rsidR="001E7E9D"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une </w:t>
            </w: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certaine mixité d’habitat et de statuts</w:t>
            </w:r>
            <w:r w:rsidR="001E7E9D"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d’occupation</w:t>
            </w: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.</w:t>
            </w:r>
          </w:p>
          <w:p w14:paraId="0DCD09DC" w14:textId="046E7ABB" w:rsidR="00E35A3B" w:rsidRPr="00E35A3B" w:rsidRDefault="046E7ABB" w:rsidP="046E7ABB">
            <w:pPr>
              <w:pStyle w:val="TableContents"/>
              <w:numPr>
                <w:ilvl w:val="0"/>
                <w:numId w:val="1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Le parc social est d’assez bonne qualité dispose d’une vraie valeur d’usage liée à une situation urbaine souvent centrale et proche des services et des équipements.</w:t>
            </w:r>
          </w:p>
          <w:p w14:paraId="12354628" w14:textId="26AE1135" w:rsidR="00E35A3B" w:rsidRDefault="046E7ABB" w:rsidP="046E7ABB">
            <w:pPr>
              <w:pStyle w:val="TableContents"/>
              <w:numPr>
                <w:ilvl w:val="0"/>
                <w:numId w:val="1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Des efforts restent encore à conduire en matière d’amélioration de l’habitat social et privé,  notamment dans les quartiers prioritaires qui n’ont pas été  concernés par le PRU.</w:t>
            </w:r>
          </w:p>
          <w:p w14:paraId="6EAC587E" w14:textId="04D9FEA6" w:rsidR="00611755" w:rsidRPr="00243AF9" w:rsidRDefault="046E7ABB" w:rsidP="046E7ABB">
            <w:pPr>
              <w:pStyle w:val="TableContents"/>
              <w:numPr>
                <w:ilvl w:val="0"/>
                <w:numId w:val="1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Par ailleurs, des enjeux plus généraux d’adaptation du parc social sont identifiés en matière de rénovation énergétique et d’adaptation aux évolutions sociodémographiques.</w:t>
            </w:r>
          </w:p>
        </w:tc>
      </w:tr>
      <w:tr w:rsidR="00611755" w:rsidRPr="00243AF9" w14:paraId="27B2B9E7" w14:textId="77777777" w:rsidTr="20DFC242">
        <w:trPr>
          <w:trHeight w:val="142"/>
        </w:trPr>
        <w:tc>
          <w:tcPr>
            <w:tcW w:w="2535" w:type="dxa"/>
            <w:shd w:val="clear" w:color="auto" w:fill="B8CCE4" w:themeFill="accent1" w:themeFillTint="66"/>
          </w:tcPr>
          <w:p w14:paraId="25C8E8AE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Objectifs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et dynamiques</w:t>
            </w:r>
          </w:p>
          <w:p w14:paraId="6F3EB1E9" w14:textId="77EDDA77" w:rsidR="00611755" w:rsidRPr="008D57C0" w:rsidRDefault="00611755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  <w:bookmarkStart w:id="0" w:name="_GoBack"/>
            <w:bookmarkEnd w:id="0"/>
          </w:p>
        </w:tc>
        <w:tc>
          <w:tcPr>
            <w:tcW w:w="8310" w:type="dxa"/>
            <w:shd w:val="clear" w:color="auto" w:fill="B8CCE4" w:themeFill="accent1" w:themeFillTint="66"/>
          </w:tcPr>
          <w:p w14:paraId="71235C6A" w14:textId="2EB26557" w:rsidR="00D80DA3" w:rsidRPr="006F549A" w:rsidRDefault="046E7ABB" w:rsidP="046E7ABB">
            <w:pPr>
              <w:pStyle w:val="TableContents"/>
              <w:numPr>
                <w:ilvl w:val="0"/>
                <w:numId w:val="7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b/>
                <w:color w:val="1F497D" w:themeColor="text2"/>
                <w:sz w:val="20"/>
                <w:szCs w:val="20"/>
              </w:rPr>
            </w:pPr>
            <w:r w:rsidRPr="006F549A">
              <w:rPr>
                <w:rFonts w:ascii="Verdana" w:eastAsia="Verdana" w:hAnsi="Verdana" w:cs="Verdana"/>
                <w:b/>
                <w:color w:val="1F497D" w:themeColor="text2"/>
                <w:sz w:val="20"/>
                <w:szCs w:val="20"/>
              </w:rPr>
              <w:t>Requalifier le parc de logements existants</w:t>
            </w:r>
          </w:p>
          <w:p w14:paraId="324382A5" w14:textId="0D554177" w:rsidR="00D80DA3" w:rsidRPr="003905AF" w:rsidRDefault="046E7ABB" w:rsidP="046E7ABB">
            <w:pPr>
              <w:pStyle w:val="TableContents"/>
              <w:spacing w:before="120" w:after="120" w:line="259" w:lineRule="auto"/>
              <w:ind w:left="720" w:right="-10"/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- Amélioration énergétique et environnementale (isolation thermique et phonique, optimisation des réseaux de chaleur …) ;</w:t>
            </w:r>
          </w:p>
          <w:p w14:paraId="3B380D6D" w14:textId="0C9AB389" w:rsidR="00D80DA3" w:rsidRPr="003905AF" w:rsidRDefault="046E7ABB" w:rsidP="046E7ABB">
            <w:pPr>
              <w:pStyle w:val="TableContents"/>
              <w:spacing w:before="120" w:after="120" w:line="259" w:lineRule="auto"/>
              <w:ind w:left="720" w:right="-10"/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-Adaptation aux mutations sociodémographiques (restructurations internes, accessibilité …).</w:t>
            </w:r>
          </w:p>
          <w:p w14:paraId="251A22B3" w14:textId="68ACFBD2" w:rsidR="046E7ABB" w:rsidRDefault="046E7ABB" w:rsidP="046E7ABB">
            <w:pPr>
              <w:pStyle w:val="TableContents"/>
              <w:spacing w:before="120" w:after="120" w:line="259" w:lineRule="auto"/>
              <w:ind w:left="720" w:right="-10"/>
            </w:pPr>
          </w:p>
          <w:p w14:paraId="523D1849" w14:textId="5CC8AF26" w:rsidR="00D80DA3" w:rsidRPr="006F549A" w:rsidRDefault="3958FA71" w:rsidP="3958FA71">
            <w:pPr>
              <w:pStyle w:val="TableContents"/>
              <w:numPr>
                <w:ilvl w:val="0"/>
                <w:numId w:val="9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</w:pPr>
            <w:r w:rsidRPr="006F549A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Diversification des types d’habitat, dans les quartiers prioritaires et aux abords</w:t>
            </w:r>
            <w:r w:rsidR="006F549A" w:rsidRPr="006F549A">
              <w:rPr>
                <w:rFonts w:ascii="Verdana" w:eastAsia="Verdana" w:hAnsi="Verdana" w:cs="Verdana"/>
                <w:b/>
                <w:color w:val="1F487C"/>
                <w:sz w:val="20"/>
                <w:szCs w:val="20"/>
              </w:rPr>
              <w:t> :</w:t>
            </w:r>
            <w:commentRangeStart w:id="1"/>
          </w:p>
          <w:p w14:paraId="21CC4CF4" w14:textId="27FD42F3" w:rsidR="00D80DA3" w:rsidRPr="006F549A" w:rsidRDefault="3958FA71" w:rsidP="006F549A">
            <w:pPr>
              <w:pStyle w:val="TableContents"/>
              <w:spacing w:before="120" w:after="120" w:line="259" w:lineRule="auto"/>
              <w:ind w:left="709" w:right="-1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3958FA71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-Vente du parc HLM et</w:t>
            </w:r>
            <w:r w:rsidRPr="006F549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développement du parc locatif privé conventionné (intermédiaire ou social)</w:t>
            </w:r>
            <w:r w:rsidRPr="3958FA71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 ; </w:t>
            </w:r>
          </w:p>
          <w:p w14:paraId="6B52BC03" w14:textId="20DFC242" w:rsidR="00611755" w:rsidRPr="006F549A" w:rsidRDefault="20DFC242" w:rsidP="006F549A">
            <w:pPr>
              <w:pStyle w:val="TableContents"/>
              <w:spacing w:before="120" w:after="120" w:line="259" w:lineRule="auto"/>
              <w:ind w:left="709" w:right="-1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20DFC242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-Développement de l’accession sociale et de la promotion immobilière </w:t>
            </w:r>
            <w:r w:rsidRPr="006F549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notamment dans la bande des 300m (TVA réduite)</w:t>
            </w:r>
          </w:p>
          <w:p w14:paraId="3301F0D9" w14:textId="19F422C4" w:rsidR="00611755" w:rsidRPr="005F0153" w:rsidRDefault="006F549A" w:rsidP="006F549A">
            <w:pPr>
              <w:pStyle w:val="TableContents"/>
              <w:spacing w:before="120" w:after="120" w:line="259" w:lineRule="auto"/>
              <w:ind w:left="709" w:right="-10"/>
              <w:rPr>
                <w:rFonts w:ascii="Verdana" w:eastAsia="Verdana" w:hAnsi="Verdana" w:cs="Verdana"/>
                <w:color w:val="E36C0A" w:themeColor="accent6" w:themeShade="BF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-</w:t>
            </w:r>
            <w:r w:rsidR="20DFC242" w:rsidRPr="006F549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Mobilisation  du foncier de l'Etat </w:t>
            </w:r>
            <w:proofErr w:type="gramStart"/>
            <w:r w:rsidR="20DFC242" w:rsidRPr="006F549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( ex</w:t>
            </w:r>
            <w:proofErr w:type="gramEnd"/>
            <w:r w:rsidR="20DFC242" w:rsidRPr="006F549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: le Hallebardier, Sanitas)</w:t>
            </w:r>
            <w:r w:rsidR="20DFC242" w:rsidRPr="20DFC242">
              <w:rPr>
                <w:rFonts w:ascii="Verdana" w:eastAsia="Verdana" w:hAnsi="Verdana" w:cs="Verdana"/>
                <w:color w:val="E36C0A" w:themeColor="accent6" w:themeShade="BF"/>
                <w:sz w:val="20"/>
                <w:szCs w:val="20"/>
              </w:rPr>
              <w:t xml:space="preserve"> </w:t>
            </w:r>
          </w:p>
        </w:tc>
      </w:tr>
      <w:tr w:rsidR="00611755" w:rsidRPr="00243AF9" w14:paraId="36870367" w14:textId="77777777" w:rsidTr="20DFC242">
        <w:trPr>
          <w:trHeight w:val="170"/>
        </w:trPr>
        <w:tc>
          <w:tcPr>
            <w:tcW w:w="2535" w:type="dxa"/>
            <w:shd w:val="clear" w:color="auto" w:fill="B8CCE4" w:themeFill="accent1" w:themeFillTint="66"/>
          </w:tcPr>
          <w:p w14:paraId="11E7A97F" w14:textId="77777777"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Réalisations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attendues </w:t>
            </w:r>
          </w:p>
          <w:p w14:paraId="144C2E28" w14:textId="6417964C" w:rsidR="00611755" w:rsidRPr="005F0153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310" w:type="dxa"/>
            <w:shd w:val="clear" w:color="auto" w:fill="B8CCE4" w:themeFill="accent1" w:themeFillTint="66"/>
          </w:tcPr>
          <w:p w14:paraId="7380B34C" w14:textId="6FBBC9EA" w:rsidR="00611755" w:rsidRP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Poursuite de l’amélioration des performances énergétiques du parc social et des opérations de restructuration internes ;</w:t>
            </w:r>
          </w:p>
          <w:p w14:paraId="023626B8" w14:textId="37724DD2" w:rsidR="005B484D" w:rsidRP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Maintien de l’intervention des bailleurs sociaux au sein des copropriétés issues de la vente de logements HM ;</w:t>
            </w:r>
          </w:p>
          <w:p w14:paraId="3533FF45" w14:textId="15A72140" w:rsidR="005B484D" w:rsidRP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Poursuite du soutien à l’amélioration des copropriétés présentes dans les quartiers prioritaires ;</w:t>
            </w:r>
          </w:p>
          <w:p w14:paraId="489342E7" w14:textId="17D49C6B" w:rsidR="005B484D" w:rsidRP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Développement dans les quartiers prioritaires et à proximité d’une offre de logements privés concurrentielle de celle produite dans les quartiers centraux ;</w:t>
            </w:r>
          </w:p>
          <w:p w14:paraId="6FB2083A" w14:textId="563834C9" w:rsidR="005B484D" w:rsidRPr="00243AF9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Développement dans les quartiers prioritaires et à proximité d’une offre de </w:t>
            </w: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lastRenderedPageBreak/>
              <w:t>logements en accession sociale.</w:t>
            </w:r>
          </w:p>
        </w:tc>
      </w:tr>
      <w:tr w:rsidR="00611755" w:rsidRPr="00243AF9" w14:paraId="4C1E1729" w14:textId="77777777" w:rsidTr="20DFC242">
        <w:tc>
          <w:tcPr>
            <w:tcW w:w="2535" w:type="dxa"/>
            <w:shd w:val="clear" w:color="auto" w:fill="B8CCE4" w:themeFill="accent1" w:themeFillTint="66"/>
          </w:tcPr>
          <w:p w14:paraId="71E0A27D" w14:textId="77777777"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 xml:space="preserve">Effets attendus </w:t>
            </w:r>
          </w:p>
          <w:p w14:paraId="3C5FA3BF" w14:textId="147B9534" w:rsidR="00611755" w:rsidRPr="00611755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310" w:type="dxa"/>
            <w:shd w:val="clear" w:color="auto" w:fill="B8CCE4" w:themeFill="accent1" w:themeFillTint="66"/>
          </w:tcPr>
          <w:p w14:paraId="629AF8FB" w14:textId="641516AE" w:rsidR="00611755" w:rsidRP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Développement des parcours résidentiels des habitants des quartiers prioritaires (changement de statut d’occupation) ;</w:t>
            </w:r>
          </w:p>
          <w:p w14:paraId="4F212CBF" w14:textId="7F037E10" w:rsidR="005B484D" w:rsidRP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Stabilisation voire amélioration de la situation sociale et financière des copropriétés ;</w:t>
            </w:r>
          </w:p>
          <w:p w14:paraId="6856258B" w14:textId="20BF04B5" w:rsidR="005B484D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ind w:right="-10"/>
              <w:rPr>
                <w:rFonts w:ascii="Verdana,Arial" w:eastAsia="Verdana,Arial" w:hAnsi="Verdana,Arial" w:cs="Verdana,Arial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Arrivée de nouveaux habitants (familles et jeunes actifs) au sein du parc social en accession et du parc privé neuf.</w:t>
            </w:r>
          </w:p>
        </w:tc>
      </w:tr>
      <w:tr w:rsidR="00611755" w:rsidRPr="00243AF9" w14:paraId="650E0D2E" w14:textId="77777777" w:rsidTr="20DFC242">
        <w:tc>
          <w:tcPr>
            <w:tcW w:w="2535" w:type="dxa"/>
            <w:shd w:val="clear" w:color="auto" w:fill="B8CCE4" w:themeFill="accent1" w:themeFillTint="66"/>
          </w:tcPr>
          <w:p w14:paraId="04503BCB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Territoriale</w:t>
            </w:r>
          </w:p>
          <w:p w14:paraId="0538FE85" w14:textId="289C6FD9" w:rsidR="00611755" w:rsidRP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310" w:type="dxa"/>
            <w:shd w:val="clear" w:color="auto" w:fill="B8CCE4" w:themeFill="accent1" w:themeFillTint="66"/>
          </w:tcPr>
          <w:p w14:paraId="61F61D70" w14:textId="40765760" w:rsidR="00611755" w:rsidRPr="00243AF9" w:rsidRDefault="046E7ABB" w:rsidP="046E7ABB">
            <w:pPr>
              <w:pStyle w:val="TableContents"/>
              <w:numPr>
                <w:ilvl w:val="0"/>
                <w:numId w:val="8"/>
              </w:numPr>
              <w:autoSpaceDN w:val="0"/>
              <w:spacing w:before="120" w:after="120"/>
              <w:rPr>
                <w:rFonts w:ascii="Verdana,Arial" w:eastAsia="Verdana,Arial" w:hAnsi="Verdana,Arial" w:cs="Verdana,Arial"/>
                <w:color w:val="1F497D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Quartiers du contrat de ville et franges des quartiers prioritaires (périmètre de 300 m dans lequel les constructions nouvelles peuvent bénéficier d’une TVA réduite).</w:t>
            </w:r>
          </w:p>
        </w:tc>
      </w:tr>
      <w:tr w:rsidR="00611755" w:rsidRPr="00243AF9" w14:paraId="26375864" w14:textId="77777777" w:rsidTr="20DFC242">
        <w:tc>
          <w:tcPr>
            <w:tcW w:w="2535" w:type="dxa"/>
            <w:shd w:val="clear" w:color="auto" w:fill="B8CCE4" w:themeFill="accent1" w:themeFillTint="66"/>
          </w:tcPr>
          <w:p w14:paraId="77F6E0E7" w14:textId="77777777" w:rsidR="00611755" w:rsidRDefault="00D87FB9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  <w:p w14:paraId="5E67A5F9" w14:textId="33463CEF" w:rsidR="00611755" w:rsidRP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310" w:type="dxa"/>
            <w:shd w:val="clear" w:color="auto" w:fill="B8CCE4" w:themeFill="accent1" w:themeFillTint="66"/>
          </w:tcPr>
          <w:p w14:paraId="2F8F6B63" w14:textId="0BEDE9A3" w:rsidR="00611755" w:rsidRPr="00243AF9" w:rsidRDefault="046E7ABB" w:rsidP="046E7ABB">
            <w:pPr>
              <w:pStyle w:val="TableContents"/>
              <w:numPr>
                <w:ilvl w:val="0"/>
                <w:numId w:val="8"/>
              </w:numPr>
              <w:autoSpaceDN w:val="0"/>
              <w:spacing w:before="120" w:after="120"/>
              <w:rPr>
                <w:rFonts w:ascii="Verdana,Arial" w:eastAsia="Verdana,Arial" w:hAnsi="Verdana,Arial" w:cs="Verdana,Arial"/>
                <w:color w:val="1F497D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Tour(s)plus (PLH)</w:t>
            </w:r>
          </w:p>
        </w:tc>
      </w:tr>
      <w:tr w:rsidR="00611755" w:rsidRPr="00243AF9" w14:paraId="7807C093" w14:textId="77777777" w:rsidTr="20DFC242">
        <w:trPr>
          <w:trHeight w:val="95"/>
        </w:trPr>
        <w:tc>
          <w:tcPr>
            <w:tcW w:w="2535" w:type="dxa"/>
            <w:shd w:val="clear" w:color="auto" w:fill="B8CCE4" w:themeFill="accent1" w:themeFillTint="66"/>
          </w:tcPr>
          <w:p w14:paraId="2148DE37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Partenaires 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mobilisable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 (dont habitants)</w:t>
            </w:r>
          </w:p>
          <w:p w14:paraId="5C8223AF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14:paraId="093C07E4" w14:textId="12827EC6" w:rsidR="00611755" w:rsidRP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310" w:type="dxa"/>
            <w:shd w:val="clear" w:color="auto" w:fill="B8CCE4" w:themeFill="accent1" w:themeFillTint="66"/>
          </w:tcPr>
          <w:p w14:paraId="67A148F9" w14:textId="67FDA847" w:rsidR="000F5DA4" w:rsidRPr="00C94860" w:rsidRDefault="046E7ABB" w:rsidP="046E7ABB">
            <w:pPr>
              <w:pStyle w:val="TableContents"/>
              <w:numPr>
                <w:ilvl w:val="0"/>
                <w:numId w:val="8"/>
              </w:numPr>
              <w:autoSpaceDN w:val="0"/>
              <w:spacing w:before="120" w:after="120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DREAL Centre, ANRU, ANAH</w:t>
            </w:r>
          </w:p>
          <w:p w14:paraId="3B235917" w14:textId="720FE4B3" w:rsidR="000F5DA4" w:rsidRPr="00C94860" w:rsidRDefault="046E7ABB" w:rsidP="046E7ABB">
            <w:pPr>
              <w:pStyle w:val="TableContents"/>
              <w:numPr>
                <w:ilvl w:val="0"/>
                <w:numId w:val="8"/>
              </w:numPr>
              <w:autoSpaceDN w:val="0"/>
              <w:spacing w:before="120" w:after="120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Région Centre Val de Loire, conseil départemental, villes du CDV</w:t>
            </w:r>
          </w:p>
          <w:p w14:paraId="19CB8222" w14:textId="7D7B8806" w:rsidR="00611755" w:rsidRPr="00C94860" w:rsidRDefault="046E7ABB" w:rsidP="046E7ABB">
            <w:pPr>
              <w:pStyle w:val="TableContents"/>
              <w:numPr>
                <w:ilvl w:val="0"/>
                <w:numId w:val="8"/>
              </w:numPr>
              <w:autoSpaceDN w:val="0"/>
              <w:spacing w:before="120" w:after="120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USH Centre et bailleurs sociaux</w:t>
            </w:r>
          </w:p>
          <w:p w14:paraId="5B1154AB" w14:textId="65289ED5" w:rsidR="000F5DA4" w:rsidRPr="00C94860" w:rsidRDefault="046E7ABB" w:rsidP="046E7ABB">
            <w:pPr>
              <w:pStyle w:val="TableContents"/>
              <w:numPr>
                <w:ilvl w:val="0"/>
                <w:numId w:val="8"/>
              </w:numPr>
              <w:autoSpaceDN w:val="0"/>
              <w:spacing w:before="120" w:after="120"/>
              <w:rPr>
                <w:rFonts w:ascii="Verdana" w:eastAsia="Verdana" w:hAnsi="Verdana" w:cs="Verdana"/>
                <w:i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Copropriétés et syndics</w:t>
            </w:r>
          </w:p>
          <w:p w14:paraId="49517F2C" w14:textId="5B235D93" w:rsidR="000F5DA4" w:rsidRPr="00243AF9" w:rsidRDefault="046E7ABB" w:rsidP="046E7ABB">
            <w:pPr>
              <w:pStyle w:val="TableContents"/>
              <w:numPr>
                <w:ilvl w:val="0"/>
                <w:numId w:val="8"/>
              </w:numPr>
              <w:autoSpaceDN w:val="0"/>
              <w:spacing w:before="120" w:after="120"/>
              <w:rPr>
                <w:rFonts w:ascii="Verdana,Arial" w:eastAsia="Verdana,Arial" w:hAnsi="Verdana,Arial" w:cs="Verdana,Arial"/>
                <w:color w:val="1F497D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Associations de locataires du parc locatif social, conseil de développement et conseils-citoyens.</w:t>
            </w:r>
          </w:p>
        </w:tc>
      </w:tr>
      <w:tr w:rsidR="00611755" w:rsidRPr="00243AF9" w14:paraId="195FB90A" w14:textId="77777777" w:rsidTr="20DFC242">
        <w:tc>
          <w:tcPr>
            <w:tcW w:w="2535" w:type="dxa"/>
            <w:shd w:val="clear" w:color="auto" w:fill="B8CCE4" w:themeFill="accent1" w:themeFillTint="66"/>
          </w:tcPr>
          <w:p w14:paraId="08EF118A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14:paraId="5ADB5778" w14:textId="1C7368A7"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310" w:type="dxa"/>
            <w:shd w:val="clear" w:color="auto" w:fill="B8CCE4" w:themeFill="accent1" w:themeFillTint="66"/>
          </w:tcPr>
          <w:p w14:paraId="0BC4F959" w14:textId="75918C9F" w:rsidR="00B332B1" w:rsidRPr="00B332B1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Aides à la pierre de Tour(s)plus</w:t>
            </w:r>
          </w:p>
          <w:p w14:paraId="412BC98E" w14:textId="12783A7C" w:rsidR="00C94860" w:rsidRPr="006F549A" w:rsidRDefault="713B1FC7" w:rsidP="3958FA71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713B1FC7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NPNRU, FEDER,</w:t>
            </w:r>
            <w:r w:rsidRPr="713B1FC7">
              <w:rPr>
                <w:rFonts w:ascii="Verdana" w:eastAsia="Verdana" w:hAnsi="Verdana" w:cs="Verdana"/>
                <w:color w:val="E36C0A" w:themeColor="accent6" w:themeShade="BF"/>
                <w:sz w:val="20"/>
                <w:szCs w:val="20"/>
              </w:rPr>
              <w:t xml:space="preserve"> </w:t>
            </w:r>
            <w:r w:rsidRPr="006F549A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ANAH  </w:t>
            </w:r>
          </w:p>
          <w:p w14:paraId="235C2972" w14:textId="04193192" w:rsidR="00611755" w:rsidRPr="00243AF9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,Arial" w:eastAsia="Verdana,Arial" w:hAnsi="Verdana,Arial" w:cs="Verdana,Arial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fonds propres des bailleurs et des copropriétés.</w:t>
            </w:r>
          </w:p>
        </w:tc>
      </w:tr>
      <w:tr w:rsidR="00611755" w:rsidRPr="00243AF9" w14:paraId="71566DDB" w14:textId="77777777" w:rsidTr="20DFC242">
        <w:trPr>
          <w:trHeight w:val="272"/>
        </w:trPr>
        <w:tc>
          <w:tcPr>
            <w:tcW w:w="2535" w:type="dxa"/>
            <w:shd w:val="clear" w:color="auto" w:fill="B8CCE4" w:themeFill="accent1" w:themeFillTint="66"/>
          </w:tcPr>
          <w:p w14:paraId="0E0C87E7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  <w:p w14:paraId="57E8B4A5" w14:textId="4BDA9ADA" w:rsidR="00611755" w:rsidRP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310" w:type="dxa"/>
            <w:shd w:val="clear" w:color="auto" w:fill="B8CCE4" w:themeFill="accent1" w:themeFillTint="66"/>
          </w:tcPr>
          <w:p w14:paraId="485A97B3" w14:textId="766DF7ED" w:rsidR="00C94860" w:rsidRP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2015-2020 (CDV / PLH)</w:t>
            </w:r>
          </w:p>
          <w:p w14:paraId="1E1B01A1" w14:textId="4FAEE1B9" w:rsidR="00611755" w:rsidRPr="00243AF9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,Arial" w:eastAsia="Verdana,Arial" w:hAnsi="Verdana,Arial" w:cs="Verdana,Arial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2015-2024 (NPNRU)</w:t>
            </w:r>
          </w:p>
        </w:tc>
      </w:tr>
      <w:tr w:rsidR="005F0153" w:rsidRPr="00243AF9" w14:paraId="46172EFE" w14:textId="77777777" w:rsidTr="20DFC242">
        <w:tc>
          <w:tcPr>
            <w:tcW w:w="2535" w:type="dxa"/>
            <w:shd w:val="clear" w:color="auto" w:fill="B8CCE4" w:themeFill="accent1" w:themeFillTint="66"/>
          </w:tcPr>
          <w:p w14:paraId="7CCBB600" w14:textId="77777777" w:rsidR="005F0153" w:rsidRDefault="005F0153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  <w:p w14:paraId="6B531627" w14:textId="3049C2B7" w:rsidR="005F0153" w:rsidRDefault="005F0153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310" w:type="dxa"/>
            <w:shd w:val="clear" w:color="auto" w:fill="B8CCE4" w:themeFill="accent1" w:themeFillTint="66"/>
          </w:tcPr>
          <w:p w14:paraId="432DEFB2" w14:textId="53D7CBE5" w:rsidR="005F0153" w:rsidRP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Nombre de logements sociaux et privés réhabilités &amp; bilan énergétique (avant / après) ;</w:t>
            </w:r>
          </w:p>
          <w:p w14:paraId="58767495" w14:textId="3A16A77C" w:rsidR="0024789C" w:rsidRP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Nombre de logements sociaux restructurés / vendus (typologie, prix de vente, caractéristiques des nouveaux occupants);</w:t>
            </w:r>
          </w:p>
          <w:p w14:paraId="06E88C5E" w14:textId="722D30B2" w:rsidR="0024789C" w:rsidRPr="00B332B1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Nombre de logements privés et en accession sociale construits (typologie et taille, prix de vente, loyers, caractéristiques des nouveaux occupants) ;</w:t>
            </w:r>
          </w:p>
          <w:p w14:paraId="56B35AAF" w14:textId="1CBD1809" w:rsidR="00B332B1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,Arial" w:eastAsia="Verdana,Arial" w:hAnsi="Verdana,Arial" w:cs="Verdana,Arial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Précédent lieu de résidence et caractéristiques des ménages ayant bénéficiés d’une aide de Tour(s)plus pour accéder à la propriété (et caractéristiques du bien acquis) dans les quartiers, sur leurs franges et dans le reste de l’agglomération.</w:t>
            </w:r>
          </w:p>
        </w:tc>
      </w:tr>
      <w:tr w:rsidR="00D87FB9" w:rsidRPr="00243AF9" w14:paraId="6CD3209F" w14:textId="77777777" w:rsidTr="20DFC242">
        <w:tc>
          <w:tcPr>
            <w:tcW w:w="2535" w:type="dxa"/>
            <w:shd w:val="clear" w:color="auto" w:fill="B8CCE4" w:themeFill="accent1" w:themeFillTint="66"/>
          </w:tcPr>
          <w:p w14:paraId="2D0A8420" w14:textId="77777777"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14:paraId="5941EFFC" w14:textId="66BE5EDA" w:rsidR="00D87FB9" w:rsidRDefault="00D87FB9" w:rsidP="006F549A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310" w:type="dxa"/>
            <w:shd w:val="clear" w:color="auto" w:fill="B8CCE4" w:themeFill="accent1" w:themeFillTint="66"/>
          </w:tcPr>
          <w:p w14:paraId="2C05BFE5" w14:textId="48FCCFCB" w:rsidR="00D87FB9" w:rsidRP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Perception du logement occupé et du quartier par les nouveaux habitants (sondage d’opinion – questions complémentaires sur le logement) ;</w:t>
            </w:r>
          </w:p>
          <w:p w14:paraId="1AAA9F24" w14:textId="194C9DCE" w:rsidR="046E7ABB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06F549A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Etude du parcours résidentiel sortants et entrants</w:t>
            </w:r>
          </w:p>
          <w:p w14:paraId="29D56C0C" w14:textId="29342A67" w:rsidR="00C94860" w:rsidRDefault="046E7ABB" w:rsidP="046E7ABB">
            <w:pPr>
              <w:pStyle w:val="TableContents"/>
              <w:numPr>
                <w:ilvl w:val="0"/>
                <w:numId w:val="8"/>
              </w:numPr>
              <w:spacing w:before="120" w:after="120" w:line="259" w:lineRule="auto"/>
              <w:rPr>
                <w:rFonts w:ascii="Verdana,Arial" w:eastAsia="Verdana,Arial" w:hAnsi="Verdana,Arial" w:cs="Verdana,Arial"/>
                <w:color w:val="1F497D" w:themeColor="text2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Enquête auprès des investisseurs et des copropriétés sur les interventions en matière d’habitat dans les quartiers.</w:t>
            </w:r>
          </w:p>
        </w:tc>
      </w:tr>
      <w:tr w:rsidR="00611755" w:rsidRPr="00243AF9" w14:paraId="549A4ADF" w14:textId="77777777" w:rsidTr="20DFC242">
        <w:tc>
          <w:tcPr>
            <w:tcW w:w="2535" w:type="dxa"/>
            <w:shd w:val="clear" w:color="auto" w:fill="B8CCE4" w:themeFill="accent1" w:themeFillTint="66"/>
          </w:tcPr>
          <w:p w14:paraId="06F79804" w14:textId="77777777"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310" w:type="dxa"/>
            <w:shd w:val="clear" w:color="auto" w:fill="B8CCE4" w:themeFill="accent1" w:themeFillTint="66"/>
          </w:tcPr>
          <w:p w14:paraId="19DFE8EB" w14:textId="6D6E0217" w:rsidR="00611755" w:rsidRDefault="046E7ABB" w:rsidP="046E7ABB">
            <w:pPr>
              <w:pStyle w:val="TableContents"/>
              <w:numPr>
                <w:ilvl w:val="0"/>
                <w:numId w:val="8"/>
              </w:numPr>
              <w:autoSpaceDN w:val="0"/>
              <w:spacing w:before="120" w:after="120"/>
              <w:rPr>
                <w:rFonts w:ascii="Verdana,Arial" w:eastAsia="Verdana,Arial" w:hAnsi="Verdana,Arial" w:cs="Verdana,Arial"/>
                <w:color w:val="1F497D"/>
                <w:sz w:val="20"/>
                <w:szCs w:val="20"/>
              </w:rPr>
            </w:pPr>
            <w:r w:rsidRPr="046E7ABB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Axe 2.2 : fiches 2.2.3, 2.2.4, 2.2.5, 2.2.6.</w:t>
            </w:r>
          </w:p>
        </w:tc>
      </w:tr>
    </w:tbl>
    <w:p w14:paraId="73034FF0" w14:textId="77777777" w:rsidR="00827890" w:rsidRPr="00827890" w:rsidRDefault="00827890" w:rsidP="002E131B">
      <w:pPr>
        <w:widowControl/>
        <w:suppressAutoHyphens w:val="0"/>
        <w:textAlignment w:val="auto"/>
      </w:pPr>
    </w:p>
    <w:sectPr w:rsidR="00827890" w:rsidRPr="00827890" w:rsidSect="00A433C2">
      <w:footerReference w:type="default" r:id="rId11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39D2CAC1"/>
  <w15:commentEx w15:done="0" w15:paraId="62BA63F8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2B64B" w14:textId="77777777" w:rsidR="0082148C" w:rsidRDefault="0082148C" w:rsidP="00A03715">
      <w:pPr>
        <w:pStyle w:val="TableContents"/>
      </w:pPr>
      <w:r>
        <w:separator/>
      </w:r>
    </w:p>
  </w:endnote>
  <w:endnote w:type="continuationSeparator" w:id="0">
    <w:p w14:paraId="0D6FE9D0" w14:textId="77777777" w:rsidR="0082148C" w:rsidRDefault="0082148C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Arial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E8F9D" w14:textId="77777777" w:rsidR="00652F55" w:rsidRDefault="00652F55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</w:p>
  <w:p w14:paraId="78FA1ED3" w14:textId="77777777" w:rsidR="00652F55" w:rsidRDefault="00652F55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 xml:space="preserve">Fiche </w:t>
    </w:r>
    <w:r w:rsidR="00D87FB9">
      <w:rPr>
        <w:rFonts w:ascii="Verdana" w:hAnsi="Verdana" w:cs="Verdana"/>
        <w:sz w:val="16"/>
        <w:szCs w:val="16"/>
      </w:rPr>
      <w:t>orientation opérationnelle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68618" w14:textId="77777777" w:rsidR="0082148C" w:rsidRDefault="0082148C" w:rsidP="00A03715">
      <w:pPr>
        <w:pStyle w:val="TableContents"/>
      </w:pPr>
      <w:r>
        <w:separator/>
      </w:r>
    </w:p>
  </w:footnote>
  <w:footnote w:type="continuationSeparator" w:id="0">
    <w:p w14:paraId="710CC27D" w14:textId="77777777" w:rsidR="0082148C" w:rsidRDefault="0082148C" w:rsidP="00A03715">
      <w:pPr>
        <w:pStyle w:val="TableContents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19631FC8"/>
    <w:multiLevelType w:val="hybridMultilevel"/>
    <w:tmpl w:val="CA3CEFFC"/>
    <w:lvl w:ilvl="0" w:tplc="3740E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F657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BECD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08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888C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AE7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D02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F8D8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8C7B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A25F7"/>
    <w:multiLevelType w:val="hybridMultilevel"/>
    <w:tmpl w:val="7EA27796"/>
    <w:lvl w:ilvl="0" w:tplc="31EEC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749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D0A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862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E2A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FA3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8A51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705F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4A64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827F9"/>
    <w:multiLevelType w:val="hybridMultilevel"/>
    <w:tmpl w:val="6B809B80"/>
    <w:lvl w:ilvl="0" w:tplc="2E9A15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E36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A41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2F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A20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621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B0A3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D84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888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6D75C7A"/>
    <w:multiLevelType w:val="hybridMultilevel"/>
    <w:tmpl w:val="077A10A8"/>
    <w:lvl w:ilvl="0" w:tplc="6D327F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BA4D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F67A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DC46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021F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0281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AA0FC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30C0F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783F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BD14BD4"/>
    <w:multiLevelType w:val="hybridMultilevel"/>
    <w:tmpl w:val="B7221238"/>
    <w:lvl w:ilvl="0" w:tplc="5EC8A1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6811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FAFE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42EC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FEB4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6447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E466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C0D9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8841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Françoise BETBEDE">
    <w15:presenceInfo w15:providerId="AD" w15:userId="1003BFFD90E36315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6A5"/>
    <w:rsid w:val="00015782"/>
    <w:rsid w:val="00031B19"/>
    <w:rsid w:val="000431FC"/>
    <w:rsid w:val="000966A5"/>
    <w:rsid w:val="000A570C"/>
    <w:rsid w:val="000F355B"/>
    <w:rsid w:val="000F5DA4"/>
    <w:rsid w:val="00141401"/>
    <w:rsid w:val="00157E13"/>
    <w:rsid w:val="0016489B"/>
    <w:rsid w:val="00172682"/>
    <w:rsid w:val="001B5930"/>
    <w:rsid w:val="001C466A"/>
    <w:rsid w:val="001E7E9D"/>
    <w:rsid w:val="00221F00"/>
    <w:rsid w:val="00243AF9"/>
    <w:rsid w:val="0024789C"/>
    <w:rsid w:val="00251461"/>
    <w:rsid w:val="002650B0"/>
    <w:rsid w:val="002A5B58"/>
    <w:rsid w:val="002E131B"/>
    <w:rsid w:val="00332D5A"/>
    <w:rsid w:val="003420AD"/>
    <w:rsid w:val="003744CB"/>
    <w:rsid w:val="003905AF"/>
    <w:rsid w:val="003966A6"/>
    <w:rsid w:val="00405EFC"/>
    <w:rsid w:val="00450F2B"/>
    <w:rsid w:val="00481787"/>
    <w:rsid w:val="004A7292"/>
    <w:rsid w:val="004C24CB"/>
    <w:rsid w:val="004F08AC"/>
    <w:rsid w:val="00502539"/>
    <w:rsid w:val="00543505"/>
    <w:rsid w:val="00564CE8"/>
    <w:rsid w:val="005B484D"/>
    <w:rsid w:val="005F0153"/>
    <w:rsid w:val="00611755"/>
    <w:rsid w:val="00626CBC"/>
    <w:rsid w:val="00633A2F"/>
    <w:rsid w:val="00652F55"/>
    <w:rsid w:val="006A3BC2"/>
    <w:rsid w:val="006D48ED"/>
    <w:rsid w:val="006F3473"/>
    <w:rsid w:val="006F549A"/>
    <w:rsid w:val="0074359D"/>
    <w:rsid w:val="007A7B97"/>
    <w:rsid w:val="007B7D1F"/>
    <w:rsid w:val="007D246C"/>
    <w:rsid w:val="007D7354"/>
    <w:rsid w:val="007F401A"/>
    <w:rsid w:val="00806B91"/>
    <w:rsid w:val="0082148C"/>
    <w:rsid w:val="00827890"/>
    <w:rsid w:val="0083500C"/>
    <w:rsid w:val="00841AF9"/>
    <w:rsid w:val="00860E13"/>
    <w:rsid w:val="0088450D"/>
    <w:rsid w:val="008D0202"/>
    <w:rsid w:val="008D57C0"/>
    <w:rsid w:val="008F41F9"/>
    <w:rsid w:val="00934D6C"/>
    <w:rsid w:val="009520CB"/>
    <w:rsid w:val="00973B15"/>
    <w:rsid w:val="0097477D"/>
    <w:rsid w:val="009910D0"/>
    <w:rsid w:val="009C075F"/>
    <w:rsid w:val="00A03715"/>
    <w:rsid w:val="00A230D1"/>
    <w:rsid w:val="00A34D8D"/>
    <w:rsid w:val="00A433C2"/>
    <w:rsid w:val="00A60403"/>
    <w:rsid w:val="00AD0191"/>
    <w:rsid w:val="00AF6772"/>
    <w:rsid w:val="00B332B1"/>
    <w:rsid w:val="00BE4175"/>
    <w:rsid w:val="00BE52CF"/>
    <w:rsid w:val="00BE6FC2"/>
    <w:rsid w:val="00C52CBA"/>
    <w:rsid w:val="00C94860"/>
    <w:rsid w:val="00CC0218"/>
    <w:rsid w:val="00D80DA3"/>
    <w:rsid w:val="00D80E84"/>
    <w:rsid w:val="00D86EE0"/>
    <w:rsid w:val="00D87FB9"/>
    <w:rsid w:val="00DA6B8B"/>
    <w:rsid w:val="00DC0102"/>
    <w:rsid w:val="00E1387A"/>
    <w:rsid w:val="00E35A3B"/>
    <w:rsid w:val="00EB2547"/>
    <w:rsid w:val="00ED7F39"/>
    <w:rsid w:val="00EE7747"/>
    <w:rsid w:val="00F04DC2"/>
    <w:rsid w:val="00F06257"/>
    <w:rsid w:val="00F275A3"/>
    <w:rsid w:val="00F716D6"/>
    <w:rsid w:val="046E7ABB"/>
    <w:rsid w:val="20DFC242"/>
    <w:rsid w:val="284F70C0"/>
    <w:rsid w:val="3958FA71"/>
    <w:rsid w:val="713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C55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547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rsid w:val="00EB2547"/>
    <w:pPr>
      <w:numPr>
        <w:numId w:val="2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rsid w:val="00EB2547"/>
    <w:pPr>
      <w:numPr>
        <w:ilvl w:val="1"/>
        <w:numId w:val="2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rsid w:val="00EB2547"/>
    <w:pPr>
      <w:numPr>
        <w:ilvl w:val="2"/>
        <w:numId w:val="2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EB2547"/>
    <w:rPr>
      <w:rFonts w:ascii="Symbol" w:eastAsia="Times New Roman" w:hAnsi="Symbol" w:cs="Verdana"/>
    </w:rPr>
  </w:style>
  <w:style w:type="character" w:customStyle="1" w:styleId="WW8Num1z1">
    <w:name w:val="WW8Num1z1"/>
    <w:rsid w:val="00EB2547"/>
    <w:rPr>
      <w:rFonts w:ascii="OpenSymbol" w:hAnsi="OpenSymbol" w:cs="Courier New"/>
    </w:rPr>
  </w:style>
  <w:style w:type="character" w:customStyle="1" w:styleId="WW8Num2z0">
    <w:name w:val="WW8Num2z0"/>
    <w:rsid w:val="00EB2547"/>
    <w:rPr>
      <w:rFonts w:ascii="Verdana" w:eastAsia="SimSun" w:hAnsi="Verdana" w:cs="Mangal"/>
    </w:rPr>
  </w:style>
  <w:style w:type="character" w:customStyle="1" w:styleId="WW8Num2z1">
    <w:name w:val="WW8Num2z1"/>
    <w:rsid w:val="00EB2547"/>
    <w:rPr>
      <w:rFonts w:ascii="Courier New" w:hAnsi="Courier New" w:cs="Courier New"/>
    </w:rPr>
  </w:style>
  <w:style w:type="character" w:customStyle="1" w:styleId="WW8Num2z2">
    <w:name w:val="WW8Num2z2"/>
    <w:rsid w:val="00EB2547"/>
    <w:rPr>
      <w:rFonts w:ascii="Wingdings" w:hAnsi="Wingdings" w:cs="Wingdings"/>
    </w:rPr>
  </w:style>
  <w:style w:type="character" w:customStyle="1" w:styleId="WW8Num2z3">
    <w:name w:val="WW8Num2z3"/>
    <w:rsid w:val="00EB2547"/>
    <w:rPr>
      <w:rFonts w:ascii="Symbol" w:hAnsi="Symbol" w:cs="Symbol"/>
    </w:rPr>
  </w:style>
  <w:style w:type="character" w:customStyle="1" w:styleId="WW8Num4z0">
    <w:name w:val="WW8Num4z0"/>
    <w:rsid w:val="00EB2547"/>
    <w:rPr>
      <w:rFonts w:ascii="Verdana" w:eastAsia="Times New Roman" w:hAnsi="Verdana" w:cs="Verdana"/>
    </w:rPr>
  </w:style>
  <w:style w:type="character" w:customStyle="1" w:styleId="WW8Num4z1">
    <w:name w:val="WW8Num4z1"/>
    <w:rsid w:val="00EB2547"/>
    <w:rPr>
      <w:rFonts w:ascii="Courier New" w:hAnsi="Courier New" w:cs="Courier New"/>
    </w:rPr>
  </w:style>
  <w:style w:type="character" w:customStyle="1" w:styleId="WW8Num4z2">
    <w:name w:val="WW8Num4z2"/>
    <w:rsid w:val="00EB2547"/>
    <w:rPr>
      <w:rFonts w:ascii="Wingdings" w:hAnsi="Wingdings" w:cs="Wingdings"/>
    </w:rPr>
  </w:style>
  <w:style w:type="character" w:customStyle="1" w:styleId="WW8Num4z3">
    <w:name w:val="WW8Num4z3"/>
    <w:rsid w:val="00EB2547"/>
    <w:rPr>
      <w:rFonts w:ascii="Symbol" w:hAnsi="Symbol" w:cs="Symbol"/>
    </w:rPr>
  </w:style>
  <w:style w:type="character" w:customStyle="1" w:styleId="WW8Num5z0">
    <w:name w:val="WW8Num5z0"/>
    <w:rsid w:val="00EB2547"/>
    <w:rPr>
      <w:rFonts w:ascii="Symbol" w:hAnsi="Symbol" w:cs="OpenSymbol"/>
    </w:rPr>
  </w:style>
  <w:style w:type="character" w:customStyle="1" w:styleId="WW8Num5z1">
    <w:name w:val="WW8Num5z1"/>
    <w:rsid w:val="00EB2547"/>
    <w:rPr>
      <w:rFonts w:ascii="OpenSymbol" w:hAnsi="OpenSymbol" w:cs="OpenSymbol"/>
    </w:rPr>
  </w:style>
  <w:style w:type="character" w:customStyle="1" w:styleId="WW8Num5z2">
    <w:name w:val="WW8Num5z2"/>
    <w:rsid w:val="00EB2547"/>
    <w:rPr>
      <w:rFonts w:ascii="Wingdings" w:hAnsi="Wingdings" w:cs="Wingdings"/>
    </w:rPr>
  </w:style>
  <w:style w:type="character" w:customStyle="1" w:styleId="WW8Num5z3">
    <w:name w:val="WW8Num5z3"/>
    <w:rsid w:val="00EB2547"/>
    <w:rPr>
      <w:rFonts w:ascii="Symbol" w:hAnsi="Symbol" w:cs="Symbol"/>
    </w:rPr>
  </w:style>
  <w:style w:type="character" w:customStyle="1" w:styleId="WW8Num6z0">
    <w:name w:val="WW8Num6z0"/>
    <w:rsid w:val="00EB2547"/>
    <w:rPr>
      <w:rFonts w:ascii="Symbol" w:hAnsi="Symbol" w:cs="OpenSymbol"/>
    </w:rPr>
  </w:style>
  <w:style w:type="character" w:customStyle="1" w:styleId="WW8Num6z1">
    <w:name w:val="WW8Num6z1"/>
    <w:rsid w:val="00EB2547"/>
    <w:rPr>
      <w:rFonts w:ascii="OpenSymbol" w:hAnsi="OpenSymbol" w:cs="OpenSymbol"/>
    </w:rPr>
  </w:style>
  <w:style w:type="character" w:customStyle="1" w:styleId="Policepardfaut1">
    <w:name w:val="Police par défaut1"/>
    <w:rsid w:val="00EB2547"/>
  </w:style>
  <w:style w:type="character" w:customStyle="1" w:styleId="NumberingSymbols">
    <w:name w:val="Numbering Symbols"/>
    <w:rsid w:val="00EB2547"/>
    <w:rPr>
      <w:b/>
      <w:bCs/>
    </w:rPr>
  </w:style>
  <w:style w:type="character" w:customStyle="1" w:styleId="BulletSymbols">
    <w:name w:val="Bullet Symbols"/>
    <w:rsid w:val="00EB2547"/>
    <w:rPr>
      <w:rFonts w:ascii="OpenSymbol" w:eastAsia="OpenSymbol" w:hAnsi="OpenSymbol" w:cs="OpenSymbol"/>
    </w:rPr>
  </w:style>
  <w:style w:type="character" w:customStyle="1" w:styleId="En-tteCar">
    <w:name w:val="En-tête Car"/>
    <w:rsid w:val="00EB2547"/>
    <w:rPr>
      <w:szCs w:val="21"/>
    </w:rPr>
  </w:style>
  <w:style w:type="character" w:styleId="Numrodepage">
    <w:name w:val="page number"/>
    <w:basedOn w:val="Policepardfaut1"/>
    <w:rsid w:val="00EB2547"/>
  </w:style>
  <w:style w:type="character" w:customStyle="1" w:styleId="Puces">
    <w:name w:val="Puces"/>
    <w:rsid w:val="00EB2547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EB254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EB2547"/>
    <w:pPr>
      <w:spacing w:after="120"/>
    </w:pPr>
  </w:style>
  <w:style w:type="paragraph" w:styleId="Liste">
    <w:name w:val="List"/>
    <w:basedOn w:val="Textbody"/>
    <w:rsid w:val="00EB2547"/>
  </w:style>
  <w:style w:type="paragraph" w:styleId="Lgende">
    <w:name w:val="caption"/>
    <w:basedOn w:val="WW-Standard"/>
    <w:qFormat/>
    <w:rsid w:val="00EB254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rsid w:val="00EB2547"/>
    <w:pPr>
      <w:suppressLineNumbers/>
    </w:pPr>
  </w:style>
  <w:style w:type="paragraph" w:customStyle="1" w:styleId="WW-Standard">
    <w:name w:val="WW-Standard"/>
    <w:rsid w:val="00EB2547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rsid w:val="00EB254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EB2547"/>
    <w:pPr>
      <w:spacing w:after="120"/>
    </w:pPr>
  </w:style>
  <w:style w:type="paragraph" w:styleId="Pieddepage">
    <w:name w:val="footer"/>
    <w:basedOn w:val="WW-Standard"/>
    <w:rsid w:val="00EB2547"/>
    <w:pPr>
      <w:suppressLineNumbers/>
    </w:pPr>
  </w:style>
  <w:style w:type="paragraph" w:customStyle="1" w:styleId="TableContents">
    <w:name w:val="Table Contents"/>
    <w:basedOn w:val="WW-Standard"/>
    <w:rsid w:val="00EB2547"/>
    <w:pPr>
      <w:suppressLineNumbers/>
    </w:pPr>
  </w:style>
  <w:style w:type="paragraph" w:styleId="En-tte">
    <w:name w:val="header"/>
    <w:basedOn w:val="Normal"/>
    <w:rsid w:val="00EB2547"/>
    <w:rPr>
      <w:szCs w:val="21"/>
    </w:rPr>
  </w:style>
  <w:style w:type="paragraph" w:customStyle="1" w:styleId="Contenudetableau">
    <w:name w:val="Contenu de tableau"/>
    <w:basedOn w:val="Normal"/>
    <w:rsid w:val="00EB2547"/>
    <w:pPr>
      <w:suppressLineNumbers/>
    </w:pPr>
  </w:style>
  <w:style w:type="paragraph" w:customStyle="1" w:styleId="Titredetableau">
    <w:name w:val="Titre de tableau"/>
    <w:basedOn w:val="Contenudetableau"/>
    <w:rsid w:val="00EB2547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4C24CB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4C24CB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2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2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2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80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29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02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57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27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03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771d9e0fe64d4bc9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896315cc42d14a9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A1DA4F-F2BA-4C93-8CD1-97143892B2ED}">
  <ds:schemaRefs>
    <ds:schemaRef ds:uri="http://purl.org/dc/terms/"/>
    <ds:schemaRef ds:uri="c9f4b70c-db7f-4fd0-9b1d-ebaa300a76cc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71E6A7-9C64-40E5-A5B0-5BA6C70C0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22D22A-4E53-4BCA-8DBE-1890115FD6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704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Clara MOUSSAUD</cp:lastModifiedBy>
  <cp:revision>3</cp:revision>
  <cp:lastPrinted>2015-05-27T07:28:00Z</cp:lastPrinted>
  <dcterms:created xsi:type="dcterms:W3CDTF">2015-07-10T14:22:00Z</dcterms:created>
  <dcterms:modified xsi:type="dcterms:W3CDTF">2015-07-10T14:23:00Z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