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EA391" w14:textId="4F984D83" w:rsidR="00141401" w:rsidRPr="008D57C0" w:rsidRDefault="4F984D83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 w:rsidRPr="4F984D83">
        <w:rPr>
          <w:rFonts w:ascii="Verdana" w:eastAsia="Verdana" w:hAnsi="Verdana" w:cs="Verdana"/>
          <w:b/>
          <w:bCs/>
          <w:color w:val="17365D" w:themeColor="text2" w:themeShade="BF"/>
          <w:sz w:val="28"/>
          <w:szCs w:val="28"/>
        </w:rPr>
        <w:t>FICHE 2.2.1 </w:t>
      </w:r>
    </w:p>
    <w:p w14:paraId="6EE01A05" w14:textId="77777777" w:rsidR="00843724" w:rsidRPr="00843724" w:rsidRDefault="00843724" w:rsidP="00843724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843724">
        <w:rPr>
          <w:rFonts w:ascii="Verdana" w:hAnsi="Verdana" w:cs="Verdana"/>
          <w:b/>
          <w:bCs/>
          <w:color w:val="FFFFFF"/>
          <w:sz w:val="28"/>
          <w:szCs w:val="28"/>
        </w:rPr>
        <w:t>POURSUIVRE LES EFFORTS DE REPARTITION TERRITORIALE DE L’ACCUEIL DES  MENAGES LES PLUS DEMUNIS</w:t>
      </w:r>
    </w:p>
    <w:p w14:paraId="23AF8235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520"/>
        <w:gridCol w:w="8355"/>
      </w:tblGrid>
      <w:tr w:rsidR="00611755" w:rsidRPr="00243AF9" w14:paraId="1A63F88A" w14:textId="77777777" w:rsidTr="4F984D83">
        <w:trPr>
          <w:trHeight w:val="754"/>
        </w:trPr>
        <w:tc>
          <w:tcPr>
            <w:tcW w:w="2520" w:type="dxa"/>
            <w:shd w:val="clear" w:color="auto" w:fill="B8CCE4" w:themeFill="accent1" w:themeFillTint="66"/>
            <w:vAlign w:val="center"/>
          </w:tcPr>
          <w:p w14:paraId="38E49118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5B594105" w14:textId="77777777"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43724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2</w:t>
            </w:r>
          </w:p>
        </w:tc>
        <w:tc>
          <w:tcPr>
            <w:tcW w:w="8355" w:type="dxa"/>
            <w:shd w:val="clear" w:color="auto" w:fill="B8CCE4" w:themeFill="accent1" w:themeFillTint="66"/>
            <w:vAlign w:val="center"/>
          </w:tcPr>
          <w:p w14:paraId="7C05E6D0" w14:textId="77777777" w:rsidR="00611755" w:rsidRPr="00405EFC" w:rsidRDefault="00806B91" w:rsidP="00403AC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843724" w:rsidRPr="00843724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Conforter et adapter les politiques d’attribution pour favoriser la mixité sociale </w:t>
            </w:r>
          </w:p>
        </w:tc>
      </w:tr>
    </w:tbl>
    <w:p w14:paraId="67100EDF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6"/>
        <w:gridCol w:w="8178"/>
      </w:tblGrid>
      <w:tr w:rsidR="00611755" w:rsidRPr="00243AF9" w14:paraId="52B03F5A" w14:textId="77777777" w:rsidTr="4F984D83">
        <w:trPr>
          <w:trHeight w:val="150"/>
        </w:trPr>
        <w:tc>
          <w:tcPr>
            <w:tcW w:w="2670" w:type="dxa"/>
            <w:shd w:val="clear" w:color="auto" w:fill="B8CCE4" w:themeFill="accent1" w:themeFillTint="66"/>
          </w:tcPr>
          <w:p w14:paraId="1700405D" w14:textId="77777777"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2469B4FD" w14:textId="0E8E9A04"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11992CC7" w14:textId="051B1D3F" w:rsidR="00B1585B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 parc de logement social est très largement concentré dans les communes du Contrat de Ville.</w:t>
            </w:r>
          </w:p>
          <w:p w14:paraId="6542F6EC" w14:textId="0C862CC2" w:rsidR="00B1585B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 parc social des quartiers prioritaires est fortement spécialisé, en termes d’accueil des ménages les plus précaires.</w:t>
            </w:r>
          </w:p>
          <w:p w14:paraId="52891B3A" w14:textId="433F2A6D" w:rsidR="00B1585B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 Projet de Rénovation Urbaine n’a pas transformé la structure de l’habitat (peu de démolitions, une diversification limitée aux franges des quartiers) et a eu de ce fait un très faible impact sur l’évolution du peuplement des quartiers prioritaires.</w:t>
            </w:r>
          </w:p>
          <w:p w14:paraId="374D6A17" w14:textId="7262E300" w:rsidR="00611755" w:rsidRPr="00B1585B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L’Accord Collectif Intercommunal (ACI) contribue, néanmoins, à réduire la spécialisation du parc social, en organisant la répartition territoriale de l’accueil des ménages démunis selon le degré de fragilité des programmes. Ainsi, sur 3 700 attributions HLM réalisées en 2014, 1 000 l’ont été au profit de ménages démunis de l’ACI, dont 540 dans un parc de logements jugé non fragile.</w:t>
            </w:r>
          </w:p>
        </w:tc>
      </w:tr>
      <w:tr w:rsidR="00611755" w:rsidRPr="00243AF9" w14:paraId="4BD4DB08" w14:textId="77777777" w:rsidTr="4F984D83">
        <w:trPr>
          <w:trHeight w:val="142"/>
        </w:trPr>
        <w:tc>
          <w:tcPr>
            <w:tcW w:w="2670" w:type="dxa"/>
            <w:shd w:val="clear" w:color="auto" w:fill="B8CCE4" w:themeFill="accent1" w:themeFillTint="66"/>
          </w:tcPr>
          <w:p w14:paraId="0D918A6A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14:paraId="75E6F661" w14:textId="4281F486" w:rsidR="005F0153" w:rsidRDefault="005F0153" w:rsidP="005F0153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i/>
                <w:color w:val="1F497D"/>
                <w:sz w:val="20"/>
                <w:szCs w:val="20"/>
              </w:rPr>
              <w:t xml:space="preserve"> </w:t>
            </w:r>
          </w:p>
          <w:p w14:paraId="584190F0" w14:textId="03F0CDF8"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411646CB" w14:textId="5B4403BD" w:rsidR="003D7C8A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Poursuivre et renforcer les dispositions de l’ACI visant à limiter l’accueil des ménages défavorisés dans le parc le plus fragile et en ajustant l’ACI aux nouveaux périmètres des quartiers prioritaires.</w:t>
            </w:r>
          </w:p>
          <w:p w14:paraId="20F7F85C" w14:textId="506CDB64" w:rsidR="00B112C2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Concevoir la convention intercommunale de mixité sociale comme un dispositif complémentaire à l’ACI, visant à corriger les déséquilibres de peuplement dans les programmes les plus spécialisés des quartiers prioritaires.</w:t>
            </w:r>
          </w:p>
          <w:p w14:paraId="4E3CCD5F" w14:textId="61C64430" w:rsidR="00B112C2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Développer une vision territoriale des loyers HLM pratiqués, préalable à leur remise en ordre.</w:t>
            </w:r>
          </w:p>
          <w:p w14:paraId="16AA2AF2" w14:textId="3D8FB88C" w:rsidR="00611755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Renforcer la production de logements à bas loyer en dehors des communes du Contrat de Ville et notamment dans les communes en obligation de production de logement social</w:t>
            </w:r>
          </w:p>
          <w:p w14:paraId="13D0A9DD" w14:textId="20E773E5" w:rsidR="008E2788" w:rsidRPr="008D581F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Selon l’ACI, augmenter les contingents communaux, en déterminant un droit de réservation supplémentaire dans les programmes neufs et en organisant la remise à disposition des contingents Etat et du 1% logement</w:t>
            </w:r>
          </w:p>
        </w:tc>
      </w:tr>
      <w:tr w:rsidR="00611755" w:rsidRPr="00243AF9" w14:paraId="580A62C8" w14:textId="77777777" w:rsidTr="4F984D83">
        <w:trPr>
          <w:trHeight w:val="170"/>
        </w:trPr>
        <w:tc>
          <w:tcPr>
            <w:tcW w:w="2670" w:type="dxa"/>
            <w:shd w:val="clear" w:color="auto" w:fill="B8CCE4" w:themeFill="accent1" w:themeFillTint="66"/>
          </w:tcPr>
          <w:p w14:paraId="3804D739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14:paraId="75490FD5" w14:textId="01F6B7A7" w:rsidR="00611755" w:rsidRPr="005F0153" w:rsidRDefault="00611755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6FEA049C" w14:textId="619E6323" w:rsidR="00611755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Progression du nombre de logements à loyer très modéré réalisés dans les communes en obligation de production de logement social</w:t>
            </w:r>
          </w:p>
          <w:p w14:paraId="780BAA29" w14:textId="3040E5A5" w:rsidR="00945B8D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Diminution du nombre d’attribution de logements sociaux en faveur des plus démunis dans le parc jugé fragile</w:t>
            </w:r>
          </w:p>
          <w:p w14:paraId="0E86B6DC" w14:textId="77777777" w:rsid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Développer une vision territoriale des loyers HLM </w:t>
            </w:r>
            <w:proofErr w:type="spellStart"/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pratiqués</w:t>
            </w:r>
            <w:proofErr w:type="spellEnd"/>
          </w:p>
          <w:p w14:paraId="54D1E94D" w14:textId="6121C068" w:rsidR="00945B8D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Augmenter les contingents communaux,</w:t>
            </w:r>
          </w:p>
        </w:tc>
      </w:tr>
      <w:tr w:rsidR="00611755" w:rsidRPr="00243AF9" w14:paraId="71CC72FB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0B4FEB46" w14:textId="6722F174" w:rsidR="00611755" w:rsidRPr="00F826B9" w:rsidRDefault="00F826B9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39C1F894" w14:textId="204D7271" w:rsidR="00611755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Corriger les déséquilibres de peuplement dans les programmes les plus spécialisés des quartiers prioritaires.</w:t>
            </w:r>
          </w:p>
        </w:tc>
      </w:tr>
      <w:tr w:rsidR="00611755" w:rsidRPr="00243AF9" w14:paraId="5CA0CCB1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3190C94E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  <w:p w14:paraId="4B1AE435" w14:textId="79BDB8B8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76C82EBF" w14:textId="4B472FB4" w:rsidR="002F3D1C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Communauté d’agglomération et communes membres</w:t>
            </w:r>
          </w:p>
          <w:p w14:paraId="6C4B36EF" w14:textId="4B6BD9CF" w:rsidR="002F3D1C" w:rsidRPr="00F826B9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Communes en obligation de production de logement social</w:t>
            </w:r>
          </w:p>
          <w:p w14:paraId="224E5164" w14:textId="333A4B2C" w:rsidR="00611755" w:rsidRPr="006D5096" w:rsidRDefault="4F984D83" w:rsidP="00F826B9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Quartiers prioritaires de la politique de la ville</w:t>
            </w:r>
          </w:p>
        </w:tc>
      </w:tr>
      <w:tr w:rsidR="00611755" w:rsidRPr="00243AF9" w14:paraId="32F10B51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593958B0" w14:textId="4CE6327B" w:rsidR="00611755" w:rsidRPr="00F826B9" w:rsidRDefault="00D87FB9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244FD74C" w14:textId="6B8FDF8A" w:rsidR="00611755" w:rsidRPr="00945B8D" w:rsidRDefault="4F984D83" w:rsidP="00F826B9">
            <w:pPr>
              <w:pStyle w:val="TableContents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Tour(s)plus</w:t>
            </w:r>
          </w:p>
        </w:tc>
      </w:tr>
      <w:tr w:rsidR="00611755" w:rsidRPr="00243AF9" w14:paraId="77079A70" w14:textId="77777777" w:rsidTr="4F984D83">
        <w:trPr>
          <w:trHeight w:val="95"/>
        </w:trPr>
        <w:tc>
          <w:tcPr>
            <w:tcW w:w="2670" w:type="dxa"/>
            <w:shd w:val="clear" w:color="auto" w:fill="B8CCE4" w:themeFill="accent1" w:themeFillTint="66"/>
          </w:tcPr>
          <w:p w14:paraId="530982DC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14:paraId="773B20B7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7472EC35" w14:textId="7266A25F" w:rsidR="00611755" w:rsidRPr="00611755" w:rsidRDefault="00611755" w:rsidP="00F826B9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1B6DABA0" w14:textId="77777777" w:rsidR="00F826B9" w:rsidRDefault="00F826B9" w:rsidP="00F826B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>Partenaires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 :</w:t>
            </w:r>
          </w:p>
          <w:p w14:paraId="030978BB" w14:textId="595DCEEC" w:rsidR="00CD0A32" w:rsidRPr="00F826B9" w:rsidRDefault="4F984D83" w:rsidP="00F826B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Etat, villes, Département, bailleurs sociaux, collecteurs du 1% logement</w:t>
            </w:r>
          </w:p>
          <w:p w14:paraId="40B93F0C" w14:textId="4155A67A" w:rsidR="4F984D83" w:rsidRPr="00F826B9" w:rsidRDefault="4F984D83" w:rsidP="00F826B9">
            <w:pPr>
              <w:pStyle w:val="TableContents"/>
              <w:ind w:left="36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</w:p>
          <w:p w14:paraId="0160DF76" w14:textId="6C10A737" w:rsidR="4F984D83" w:rsidRPr="00F826B9" w:rsidRDefault="4F984D83" w:rsidP="00F826B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>Dispositifs</w:t>
            </w: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:</w:t>
            </w:r>
          </w:p>
          <w:p w14:paraId="650CB7FA" w14:textId="2FA2F7E9" w:rsidR="00945B8D" w:rsidRPr="00F826B9" w:rsidRDefault="4F984D83" w:rsidP="00F826B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PLH, ACI, convention intercommunale de mixité sociale, fichier partagé de la demande HLM, Plan Partenarial de Gestion de la Demande (PPGD), PDALPD</w:t>
            </w:r>
          </w:p>
          <w:p w14:paraId="381DE9C3" w14:textId="77777777" w:rsidR="00945B8D" w:rsidRPr="00243AF9" w:rsidRDefault="00945B8D" w:rsidP="00945B8D">
            <w:pPr>
              <w:tabs>
                <w:tab w:val="left" w:pos="1440"/>
              </w:tabs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611755" w:rsidRPr="00243AF9" w14:paraId="4A376D08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641D9D74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Financements mobilisables</w:t>
            </w:r>
          </w:p>
          <w:p w14:paraId="0EC0C79C" w14:textId="17ED9F13" w:rsidR="00611755" w:rsidRPr="00243AF9" w:rsidRDefault="00611755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160" w:type="dxa"/>
            <w:shd w:val="clear" w:color="auto" w:fill="B8CCE4" w:themeFill="accent1" w:themeFillTint="66"/>
          </w:tcPr>
          <w:p w14:paraId="0E5F8250" w14:textId="6436AD7F" w:rsidR="00611755" w:rsidRPr="00F826B9" w:rsidRDefault="4F984D83" w:rsidP="00F826B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Aides à la création de logement social (Etat, Tour(s)plus, Région, Département, CDC, 1% logement)</w:t>
            </w:r>
          </w:p>
          <w:p w14:paraId="4B2171BB" w14:textId="0DF21562" w:rsidR="00160639" w:rsidRPr="00CD31A0" w:rsidRDefault="4F984D83" w:rsidP="00F826B9">
            <w:pPr>
              <w:pStyle w:val="TableContents"/>
              <w:rPr>
                <w:rFonts w:ascii="Verdana" w:hAnsi="Verdana" w:cs="Arial"/>
                <w:i/>
                <w:color w:val="1F497D"/>
                <w:sz w:val="20"/>
                <w:szCs w:val="20"/>
                <w:highlight w:val="yellow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Aides à la gestion de logement social (FSL, ASLL …)</w:t>
            </w:r>
          </w:p>
        </w:tc>
      </w:tr>
      <w:tr w:rsidR="00611755" w:rsidRPr="00243AF9" w14:paraId="5D51D631" w14:textId="77777777" w:rsidTr="4F984D83">
        <w:trPr>
          <w:trHeight w:val="272"/>
        </w:trPr>
        <w:tc>
          <w:tcPr>
            <w:tcW w:w="2670" w:type="dxa"/>
            <w:shd w:val="clear" w:color="auto" w:fill="B8CCE4" w:themeFill="accent1" w:themeFillTint="66"/>
          </w:tcPr>
          <w:p w14:paraId="0FDED858" w14:textId="47F94C92" w:rsidR="00611755" w:rsidRPr="00F826B9" w:rsidRDefault="00611755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425995C1" w14:textId="08242FAF" w:rsidR="00611755" w:rsidRPr="00DE1757" w:rsidRDefault="4F984D83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2015 et suivants</w:t>
            </w:r>
          </w:p>
        </w:tc>
      </w:tr>
      <w:tr w:rsidR="005F0153" w:rsidRPr="00243AF9" w14:paraId="00DFB9DF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0C1BE234" w14:textId="322FA4B1" w:rsidR="005F0153" w:rsidRDefault="005F0153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123E2592" w14:textId="68521F5A" w:rsidR="00CD31A0" w:rsidRPr="00F826B9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Nombre de PLAI agréés</w:t>
            </w:r>
          </w:p>
          <w:p w14:paraId="60E3CC5E" w14:textId="6DCD2A91" w:rsidR="00CD31A0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Nombre d’attributions HLM réalisées</w:t>
            </w:r>
          </w:p>
        </w:tc>
      </w:tr>
      <w:tr w:rsidR="00D87FB9" w:rsidRPr="00243AF9" w14:paraId="3980FA43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57D73432" w14:textId="4B5B8DC1" w:rsidR="00D87FB9" w:rsidRDefault="00D87FB9" w:rsidP="00F826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08A22A3B" w14:textId="4D605746" w:rsidR="00D87FB9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Développement de la mixité au sein du patrimoine de logements sociaux des quartiers politique de la ville</w:t>
            </w:r>
          </w:p>
        </w:tc>
      </w:tr>
      <w:tr w:rsidR="00611755" w:rsidRPr="00243AF9" w14:paraId="20F851EC" w14:textId="77777777" w:rsidTr="4F984D83">
        <w:tc>
          <w:tcPr>
            <w:tcW w:w="2670" w:type="dxa"/>
            <w:shd w:val="clear" w:color="auto" w:fill="B8CCE4" w:themeFill="accent1" w:themeFillTint="66"/>
          </w:tcPr>
          <w:p w14:paraId="6C3285E1" w14:textId="77777777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160" w:type="dxa"/>
            <w:shd w:val="clear" w:color="auto" w:fill="B8CCE4" w:themeFill="accent1" w:themeFillTint="66"/>
          </w:tcPr>
          <w:p w14:paraId="550CAC48" w14:textId="3FCABD2C" w:rsidR="00611755" w:rsidRPr="00F826B9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AT lutte contre les discriminations / AT Jeunesse</w:t>
            </w:r>
          </w:p>
          <w:p w14:paraId="2146537A" w14:textId="2DB7630D" w:rsidR="00AF43A2" w:rsidRPr="00F826B9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Adapter les politi</w:t>
            </w:r>
            <w:bookmarkStart w:id="0" w:name="_GoBack"/>
            <w:bookmarkEnd w:id="0"/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ques d’attributions aux enjeux du vivre ensemble</w:t>
            </w:r>
          </w:p>
          <w:p w14:paraId="5398A4FD" w14:textId="0259C9F9" w:rsidR="00F012BC" w:rsidRPr="00F012BC" w:rsidRDefault="4F984D83" w:rsidP="00F826B9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i/>
                <w:color w:val="1F497D" w:themeColor="text2"/>
                <w:sz w:val="20"/>
                <w:szCs w:val="20"/>
              </w:rPr>
            </w:pPr>
            <w:r w:rsidRPr="00F826B9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Améliorer la gestion des mutations pour fluidifier la mobilité interne et optimiser l’occupation du parc social</w:t>
            </w:r>
          </w:p>
        </w:tc>
      </w:tr>
    </w:tbl>
    <w:p w14:paraId="2550859F" w14:textId="77777777"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14:paraId="7743847D" w14:textId="77777777"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29081" w14:textId="77777777" w:rsidR="00F57E14" w:rsidRDefault="00F57E14" w:rsidP="00A03715">
      <w:pPr>
        <w:pStyle w:val="TableContents"/>
      </w:pPr>
      <w:r>
        <w:separator/>
      </w:r>
    </w:p>
  </w:endnote>
  <w:endnote w:type="continuationSeparator" w:id="0">
    <w:p w14:paraId="40C72700" w14:textId="77777777" w:rsidR="00F57E14" w:rsidRDefault="00F57E14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E9FAB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29ECF613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F4210" w14:textId="77777777" w:rsidR="00F57E14" w:rsidRDefault="00F57E14" w:rsidP="00A03715">
      <w:pPr>
        <w:pStyle w:val="TableContents"/>
      </w:pPr>
      <w:r>
        <w:separator/>
      </w:r>
    </w:p>
  </w:footnote>
  <w:footnote w:type="continuationSeparator" w:id="0">
    <w:p w14:paraId="4391EB03" w14:textId="77777777" w:rsidR="00F57E14" w:rsidRDefault="00F57E14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DB91C72"/>
    <w:multiLevelType w:val="hybridMultilevel"/>
    <w:tmpl w:val="BC9C4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B77AA"/>
    <w:multiLevelType w:val="hybridMultilevel"/>
    <w:tmpl w:val="FE942F28"/>
    <w:lvl w:ilvl="0" w:tplc="65AE1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02E5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65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B8E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0AA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0CF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660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0D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908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86135"/>
    <w:multiLevelType w:val="hybridMultilevel"/>
    <w:tmpl w:val="0822695A"/>
    <w:lvl w:ilvl="0" w:tplc="F9F49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8C7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625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A2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80D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3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8AD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64E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A03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7B43D6F"/>
    <w:multiLevelType w:val="hybridMultilevel"/>
    <w:tmpl w:val="1A1E3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1144D9"/>
    <w:multiLevelType w:val="hybridMultilevel"/>
    <w:tmpl w:val="D72AF3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F77B0"/>
    <w:multiLevelType w:val="hybridMultilevel"/>
    <w:tmpl w:val="E7182048"/>
    <w:lvl w:ilvl="0" w:tplc="D7B2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BE9D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0225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CD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C2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FA1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A0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FCBF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3CA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56325B"/>
    <w:multiLevelType w:val="hybridMultilevel"/>
    <w:tmpl w:val="21EA8CCA"/>
    <w:lvl w:ilvl="0" w:tplc="B6FA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805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042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27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0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C49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06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1CA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EC45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6A5"/>
    <w:rsid w:val="00015782"/>
    <w:rsid w:val="0002421F"/>
    <w:rsid w:val="00031B19"/>
    <w:rsid w:val="000431FC"/>
    <w:rsid w:val="00043812"/>
    <w:rsid w:val="000966A5"/>
    <w:rsid w:val="000A570C"/>
    <w:rsid w:val="000D54C5"/>
    <w:rsid w:val="000F355B"/>
    <w:rsid w:val="001327C8"/>
    <w:rsid w:val="00135266"/>
    <w:rsid w:val="00141401"/>
    <w:rsid w:val="00157E13"/>
    <w:rsid w:val="00160639"/>
    <w:rsid w:val="0016489B"/>
    <w:rsid w:val="00172682"/>
    <w:rsid w:val="001B5930"/>
    <w:rsid w:val="001C2011"/>
    <w:rsid w:val="001C466A"/>
    <w:rsid w:val="00221F00"/>
    <w:rsid w:val="0022542F"/>
    <w:rsid w:val="00243AF9"/>
    <w:rsid w:val="00251461"/>
    <w:rsid w:val="002650B0"/>
    <w:rsid w:val="002A5B58"/>
    <w:rsid w:val="002B1303"/>
    <w:rsid w:val="002F3D1C"/>
    <w:rsid w:val="0031125D"/>
    <w:rsid w:val="00332D5A"/>
    <w:rsid w:val="003420AD"/>
    <w:rsid w:val="0037283F"/>
    <w:rsid w:val="003744CB"/>
    <w:rsid w:val="003966A6"/>
    <w:rsid w:val="003D7C8A"/>
    <w:rsid w:val="00403AC9"/>
    <w:rsid w:val="00405EFC"/>
    <w:rsid w:val="00450F2B"/>
    <w:rsid w:val="00481787"/>
    <w:rsid w:val="0049303D"/>
    <w:rsid w:val="004E723C"/>
    <w:rsid w:val="00502539"/>
    <w:rsid w:val="00543505"/>
    <w:rsid w:val="00564CE8"/>
    <w:rsid w:val="005F0153"/>
    <w:rsid w:val="00611755"/>
    <w:rsid w:val="00626CBC"/>
    <w:rsid w:val="00633A2F"/>
    <w:rsid w:val="00652F55"/>
    <w:rsid w:val="006A3BC2"/>
    <w:rsid w:val="006D5096"/>
    <w:rsid w:val="006F3473"/>
    <w:rsid w:val="007358F5"/>
    <w:rsid w:val="00740D3E"/>
    <w:rsid w:val="00741C82"/>
    <w:rsid w:val="0074359D"/>
    <w:rsid w:val="00772B42"/>
    <w:rsid w:val="00786645"/>
    <w:rsid w:val="00786914"/>
    <w:rsid w:val="0079748E"/>
    <w:rsid w:val="007A7B97"/>
    <w:rsid w:val="007B7D1F"/>
    <w:rsid w:val="007D127F"/>
    <w:rsid w:val="007D246C"/>
    <w:rsid w:val="007D5861"/>
    <w:rsid w:val="007D7354"/>
    <w:rsid w:val="007E61C6"/>
    <w:rsid w:val="007F401A"/>
    <w:rsid w:val="00806B91"/>
    <w:rsid w:val="0082148C"/>
    <w:rsid w:val="00827890"/>
    <w:rsid w:val="0083500C"/>
    <w:rsid w:val="00841AF9"/>
    <w:rsid w:val="00843724"/>
    <w:rsid w:val="00860E13"/>
    <w:rsid w:val="0088450D"/>
    <w:rsid w:val="008D0202"/>
    <w:rsid w:val="008D57C0"/>
    <w:rsid w:val="008D581F"/>
    <w:rsid w:val="008E2788"/>
    <w:rsid w:val="008F41F9"/>
    <w:rsid w:val="00914BE0"/>
    <w:rsid w:val="00934D6C"/>
    <w:rsid w:val="00945B8D"/>
    <w:rsid w:val="009520CB"/>
    <w:rsid w:val="00973B15"/>
    <w:rsid w:val="009744A9"/>
    <w:rsid w:val="0097477D"/>
    <w:rsid w:val="009825AA"/>
    <w:rsid w:val="00984B79"/>
    <w:rsid w:val="009910D0"/>
    <w:rsid w:val="00995528"/>
    <w:rsid w:val="009C075F"/>
    <w:rsid w:val="00A03715"/>
    <w:rsid w:val="00A230D1"/>
    <w:rsid w:val="00A34D8D"/>
    <w:rsid w:val="00A433C2"/>
    <w:rsid w:val="00A60403"/>
    <w:rsid w:val="00AA27F5"/>
    <w:rsid w:val="00AD0191"/>
    <w:rsid w:val="00AF43A2"/>
    <w:rsid w:val="00AF6772"/>
    <w:rsid w:val="00B112C2"/>
    <w:rsid w:val="00B1585B"/>
    <w:rsid w:val="00B82553"/>
    <w:rsid w:val="00B925C7"/>
    <w:rsid w:val="00B94C37"/>
    <w:rsid w:val="00BE4175"/>
    <w:rsid w:val="00BE52CF"/>
    <w:rsid w:val="00BE6FC2"/>
    <w:rsid w:val="00C52CBA"/>
    <w:rsid w:val="00CC0218"/>
    <w:rsid w:val="00CD0A32"/>
    <w:rsid w:val="00CD31A0"/>
    <w:rsid w:val="00CD41C4"/>
    <w:rsid w:val="00D26175"/>
    <w:rsid w:val="00D80E84"/>
    <w:rsid w:val="00D86EE0"/>
    <w:rsid w:val="00D87FB9"/>
    <w:rsid w:val="00DA6B8B"/>
    <w:rsid w:val="00DA7803"/>
    <w:rsid w:val="00DC0102"/>
    <w:rsid w:val="00DE1757"/>
    <w:rsid w:val="00E331C9"/>
    <w:rsid w:val="00E826DB"/>
    <w:rsid w:val="00E92652"/>
    <w:rsid w:val="00EC061F"/>
    <w:rsid w:val="00ED7F39"/>
    <w:rsid w:val="00EE7747"/>
    <w:rsid w:val="00F012BC"/>
    <w:rsid w:val="00F04DC2"/>
    <w:rsid w:val="00F20E4F"/>
    <w:rsid w:val="00F275A3"/>
    <w:rsid w:val="00F57E14"/>
    <w:rsid w:val="00F716D6"/>
    <w:rsid w:val="00F826B9"/>
    <w:rsid w:val="00F93C04"/>
    <w:rsid w:val="00FC48E6"/>
    <w:rsid w:val="00FE77A6"/>
    <w:rsid w:val="4F98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864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5C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B925C7"/>
    <w:pPr>
      <w:numPr>
        <w:numId w:val="4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B925C7"/>
    <w:pPr>
      <w:numPr>
        <w:ilvl w:val="1"/>
        <w:numId w:val="4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B925C7"/>
    <w:pPr>
      <w:numPr>
        <w:ilvl w:val="2"/>
        <w:numId w:val="4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B925C7"/>
    <w:rPr>
      <w:rFonts w:ascii="Symbol" w:eastAsia="Times New Roman" w:hAnsi="Symbol" w:cs="Verdana"/>
    </w:rPr>
  </w:style>
  <w:style w:type="character" w:customStyle="1" w:styleId="WW8Num1z1">
    <w:name w:val="WW8Num1z1"/>
    <w:rsid w:val="00B925C7"/>
    <w:rPr>
      <w:rFonts w:ascii="OpenSymbol" w:hAnsi="OpenSymbol" w:cs="Courier New"/>
    </w:rPr>
  </w:style>
  <w:style w:type="character" w:customStyle="1" w:styleId="WW8Num2z0">
    <w:name w:val="WW8Num2z0"/>
    <w:rsid w:val="00B925C7"/>
    <w:rPr>
      <w:rFonts w:ascii="Verdana" w:eastAsia="SimSun" w:hAnsi="Verdana" w:cs="Mangal"/>
    </w:rPr>
  </w:style>
  <w:style w:type="character" w:customStyle="1" w:styleId="WW8Num2z1">
    <w:name w:val="WW8Num2z1"/>
    <w:rsid w:val="00B925C7"/>
    <w:rPr>
      <w:rFonts w:ascii="Courier New" w:hAnsi="Courier New" w:cs="Courier New"/>
    </w:rPr>
  </w:style>
  <w:style w:type="character" w:customStyle="1" w:styleId="WW8Num2z2">
    <w:name w:val="WW8Num2z2"/>
    <w:rsid w:val="00B925C7"/>
    <w:rPr>
      <w:rFonts w:ascii="Wingdings" w:hAnsi="Wingdings" w:cs="Wingdings"/>
    </w:rPr>
  </w:style>
  <w:style w:type="character" w:customStyle="1" w:styleId="WW8Num2z3">
    <w:name w:val="WW8Num2z3"/>
    <w:rsid w:val="00B925C7"/>
    <w:rPr>
      <w:rFonts w:ascii="Symbol" w:hAnsi="Symbol" w:cs="Symbol"/>
    </w:rPr>
  </w:style>
  <w:style w:type="character" w:customStyle="1" w:styleId="WW8Num4z0">
    <w:name w:val="WW8Num4z0"/>
    <w:rsid w:val="00B925C7"/>
    <w:rPr>
      <w:rFonts w:ascii="Verdana" w:eastAsia="Times New Roman" w:hAnsi="Verdana" w:cs="Verdana"/>
    </w:rPr>
  </w:style>
  <w:style w:type="character" w:customStyle="1" w:styleId="WW8Num4z1">
    <w:name w:val="WW8Num4z1"/>
    <w:rsid w:val="00B925C7"/>
    <w:rPr>
      <w:rFonts w:ascii="Courier New" w:hAnsi="Courier New" w:cs="Courier New"/>
    </w:rPr>
  </w:style>
  <w:style w:type="character" w:customStyle="1" w:styleId="WW8Num4z2">
    <w:name w:val="WW8Num4z2"/>
    <w:rsid w:val="00B925C7"/>
    <w:rPr>
      <w:rFonts w:ascii="Wingdings" w:hAnsi="Wingdings" w:cs="Wingdings"/>
    </w:rPr>
  </w:style>
  <w:style w:type="character" w:customStyle="1" w:styleId="WW8Num4z3">
    <w:name w:val="WW8Num4z3"/>
    <w:rsid w:val="00B925C7"/>
    <w:rPr>
      <w:rFonts w:ascii="Symbol" w:hAnsi="Symbol" w:cs="Symbol"/>
    </w:rPr>
  </w:style>
  <w:style w:type="character" w:customStyle="1" w:styleId="WW8Num5z0">
    <w:name w:val="WW8Num5z0"/>
    <w:rsid w:val="00B925C7"/>
    <w:rPr>
      <w:rFonts w:ascii="Symbol" w:hAnsi="Symbol" w:cs="OpenSymbol"/>
    </w:rPr>
  </w:style>
  <w:style w:type="character" w:customStyle="1" w:styleId="WW8Num5z1">
    <w:name w:val="WW8Num5z1"/>
    <w:rsid w:val="00B925C7"/>
    <w:rPr>
      <w:rFonts w:ascii="OpenSymbol" w:hAnsi="OpenSymbol" w:cs="OpenSymbol"/>
    </w:rPr>
  </w:style>
  <w:style w:type="character" w:customStyle="1" w:styleId="WW8Num5z2">
    <w:name w:val="WW8Num5z2"/>
    <w:rsid w:val="00B925C7"/>
    <w:rPr>
      <w:rFonts w:ascii="Wingdings" w:hAnsi="Wingdings" w:cs="Wingdings"/>
    </w:rPr>
  </w:style>
  <w:style w:type="character" w:customStyle="1" w:styleId="WW8Num5z3">
    <w:name w:val="WW8Num5z3"/>
    <w:rsid w:val="00B925C7"/>
    <w:rPr>
      <w:rFonts w:ascii="Symbol" w:hAnsi="Symbol" w:cs="Symbol"/>
    </w:rPr>
  </w:style>
  <w:style w:type="character" w:customStyle="1" w:styleId="WW8Num6z0">
    <w:name w:val="WW8Num6z0"/>
    <w:rsid w:val="00B925C7"/>
    <w:rPr>
      <w:rFonts w:ascii="Symbol" w:hAnsi="Symbol" w:cs="OpenSymbol"/>
    </w:rPr>
  </w:style>
  <w:style w:type="character" w:customStyle="1" w:styleId="WW8Num6z1">
    <w:name w:val="WW8Num6z1"/>
    <w:rsid w:val="00B925C7"/>
    <w:rPr>
      <w:rFonts w:ascii="OpenSymbol" w:hAnsi="OpenSymbol" w:cs="OpenSymbol"/>
    </w:rPr>
  </w:style>
  <w:style w:type="character" w:customStyle="1" w:styleId="Policepardfaut1">
    <w:name w:val="Police par défaut1"/>
    <w:rsid w:val="00B925C7"/>
  </w:style>
  <w:style w:type="character" w:customStyle="1" w:styleId="NumberingSymbols">
    <w:name w:val="Numbering Symbols"/>
    <w:rsid w:val="00B925C7"/>
    <w:rPr>
      <w:b/>
      <w:bCs/>
    </w:rPr>
  </w:style>
  <w:style w:type="character" w:customStyle="1" w:styleId="BulletSymbols">
    <w:name w:val="Bullet Symbols"/>
    <w:rsid w:val="00B925C7"/>
    <w:rPr>
      <w:rFonts w:ascii="OpenSymbol" w:eastAsia="OpenSymbol" w:hAnsi="OpenSymbol" w:cs="OpenSymbol"/>
    </w:rPr>
  </w:style>
  <w:style w:type="character" w:customStyle="1" w:styleId="En-tteCar">
    <w:name w:val="En-tête Car"/>
    <w:rsid w:val="00B925C7"/>
    <w:rPr>
      <w:szCs w:val="21"/>
    </w:rPr>
  </w:style>
  <w:style w:type="character" w:styleId="Numrodepage">
    <w:name w:val="page number"/>
    <w:basedOn w:val="Policepardfaut1"/>
    <w:rsid w:val="00B925C7"/>
  </w:style>
  <w:style w:type="character" w:customStyle="1" w:styleId="Puces">
    <w:name w:val="Puces"/>
    <w:rsid w:val="00B925C7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B92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B925C7"/>
    <w:pPr>
      <w:spacing w:after="120"/>
    </w:pPr>
  </w:style>
  <w:style w:type="paragraph" w:styleId="Liste">
    <w:name w:val="List"/>
    <w:basedOn w:val="Textbody"/>
    <w:rsid w:val="00B925C7"/>
  </w:style>
  <w:style w:type="paragraph" w:styleId="Lgende">
    <w:name w:val="caption"/>
    <w:basedOn w:val="WW-Standard"/>
    <w:qFormat/>
    <w:rsid w:val="00B925C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B925C7"/>
    <w:pPr>
      <w:suppressLineNumbers/>
    </w:pPr>
  </w:style>
  <w:style w:type="paragraph" w:customStyle="1" w:styleId="WW-Standard">
    <w:name w:val="WW-Standard"/>
    <w:rsid w:val="00B925C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B925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B925C7"/>
    <w:pPr>
      <w:spacing w:after="120"/>
    </w:pPr>
  </w:style>
  <w:style w:type="paragraph" w:styleId="Pieddepage">
    <w:name w:val="footer"/>
    <w:basedOn w:val="WW-Standard"/>
    <w:rsid w:val="00B925C7"/>
    <w:pPr>
      <w:suppressLineNumbers/>
    </w:pPr>
  </w:style>
  <w:style w:type="paragraph" w:customStyle="1" w:styleId="TableContents">
    <w:name w:val="Table Contents"/>
    <w:basedOn w:val="WW-Standard"/>
    <w:rsid w:val="00B925C7"/>
    <w:pPr>
      <w:suppressLineNumbers/>
    </w:pPr>
  </w:style>
  <w:style w:type="paragraph" w:styleId="En-tte">
    <w:name w:val="header"/>
    <w:basedOn w:val="Normal"/>
    <w:rsid w:val="00B925C7"/>
    <w:rPr>
      <w:szCs w:val="21"/>
    </w:rPr>
  </w:style>
  <w:style w:type="paragraph" w:customStyle="1" w:styleId="Contenudetableau">
    <w:name w:val="Contenu de tableau"/>
    <w:basedOn w:val="Normal"/>
    <w:rsid w:val="00B925C7"/>
    <w:pPr>
      <w:suppressLineNumbers/>
    </w:pPr>
  </w:style>
  <w:style w:type="paragraph" w:customStyle="1" w:styleId="Titredetableau">
    <w:name w:val="Titre de tableau"/>
    <w:basedOn w:val="Contenudetableau"/>
    <w:rsid w:val="00B925C7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DA7803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4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4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4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DA7803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09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2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62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69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53049-6D8F-42BD-AD8B-95194F15BFC9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c9f4b70c-db7f-4fd0-9b1d-ebaa300a76cc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C1C918-CE9C-497A-9148-7E49FA578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619CA-DC92-4B67-AA0C-9941C2BCF6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2</cp:revision>
  <cp:lastPrinted>2015-06-15T13:24:00Z</cp:lastPrinted>
  <dcterms:created xsi:type="dcterms:W3CDTF">2015-07-10T14:40:00Z</dcterms:created>
  <dcterms:modified xsi:type="dcterms:W3CDTF">2015-07-10T14:40:00Z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