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428" w:rsidRDefault="00EF0245">
      <w:pPr>
        <w:pStyle w:val="WW-Standard"/>
        <w:spacing w:after="57"/>
        <w:jc w:val="center"/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</w:pPr>
      <w:r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 xml:space="preserve">FICHE </w:t>
      </w:r>
      <w:r w:rsidR="00FC4579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>4.1.6</w:t>
      </w:r>
    </w:p>
    <w:p w:rsidR="00571428" w:rsidRDefault="00E33B9B">
      <w:pPr>
        <w:pStyle w:val="WW-Standard"/>
        <w:shd w:val="clear" w:color="auto" w:fill="1F497D"/>
        <w:spacing w:after="57"/>
        <w:jc w:val="center"/>
        <w:rPr>
          <w:rFonts w:ascii="Verdana" w:hAnsi="Verdana" w:cs="Verdana"/>
          <w:b/>
          <w:bCs/>
          <w:color w:val="FFFFFF"/>
          <w:sz w:val="28"/>
          <w:szCs w:val="28"/>
        </w:rPr>
      </w:pPr>
      <w:r w:rsidRPr="00E33B9B">
        <w:rPr>
          <w:rFonts w:ascii="Verdana" w:hAnsi="Verdana" w:cs="Verdana"/>
          <w:b/>
          <w:bCs/>
          <w:color w:val="FFFFFF"/>
          <w:sz w:val="28"/>
          <w:szCs w:val="28"/>
        </w:rPr>
        <w:t>Connaître l'environnement social institutionnel et culturel français</w:t>
      </w:r>
      <w:r>
        <w:rPr>
          <w:rFonts w:ascii="Verdana" w:hAnsi="Verdana" w:cs="Verdana"/>
          <w:b/>
          <w:bCs/>
          <w:color w:val="FFFFFF"/>
          <w:sz w:val="28"/>
          <w:szCs w:val="28"/>
        </w:rPr>
        <w:t xml:space="preserve"> </w:t>
      </w:r>
    </w:p>
    <w:p w:rsidR="00571428" w:rsidRDefault="00571428">
      <w:pPr>
        <w:pStyle w:val="WW-Standard"/>
        <w:spacing w:after="57"/>
        <w:jc w:val="center"/>
        <w:rPr>
          <w:rFonts w:ascii="Verdana" w:hAnsi="Verdana" w:cs="Verdana"/>
          <w:b/>
          <w:bCs/>
          <w:sz w:val="20"/>
          <w:szCs w:val="20"/>
        </w:rPr>
      </w:pPr>
    </w:p>
    <w:tbl>
      <w:tblPr>
        <w:tblW w:w="1088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361"/>
        <w:gridCol w:w="6520"/>
      </w:tblGrid>
      <w:tr w:rsidR="00571428" w:rsidTr="00FC4579">
        <w:trPr>
          <w:trHeight w:val="754"/>
        </w:trPr>
        <w:tc>
          <w:tcPr>
            <w:tcW w:w="43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8" w:type="dxa"/>
            </w:tcMar>
            <w:vAlign w:val="center"/>
          </w:tcPr>
          <w:p w:rsidR="00FC4579" w:rsidRDefault="00FC4579" w:rsidP="00FC4579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Pilier 4 Valeur</w:t>
            </w:r>
            <w:r w:rsidR="00C816AE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s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 de la République</w:t>
            </w:r>
          </w:p>
          <w:p w:rsidR="00571428" w:rsidRDefault="00FC4579" w:rsidP="00FC4579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Axe 1 Promotion</w:t>
            </w:r>
          </w:p>
        </w:tc>
        <w:tc>
          <w:tcPr>
            <w:tcW w:w="65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8" w:type="dxa"/>
            </w:tcMar>
            <w:vAlign w:val="center"/>
          </w:tcPr>
          <w:p w:rsidR="00571428" w:rsidRDefault="00EF0245" w:rsidP="00ED7B87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Enjeu : </w:t>
            </w:r>
            <w:r w:rsidR="00ED7B87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se repérer dans le fonctionnement des institutions françaises et comprendre les valeurs qui le sous-tendent</w:t>
            </w:r>
          </w:p>
        </w:tc>
      </w:tr>
    </w:tbl>
    <w:p w:rsidR="00571428" w:rsidRDefault="00571428" w:rsidP="00EF0245">
      <w:pPr>
        <w:pStyle w:val="WW-Standard"/>
        <w:spacing w:after="57"/>
        <w:rPr>
          <w:rFonts w:ascii="Verdana" w:hAnsi="Verdana" w:cs="Verdana"/>
          <w:b/>
          <w:bCs/>
          <w:color w:val="1F497D"/>
          <w:sz w:val="20"/>
          <w:szCs w:val="20"/>
        </w:rPr>
      </w:pPr>
    </w:p>
    <w:tbl>
      <w:tblPr>
        <w:tblW w:w="10854" w:type="dxa"/>
        <w:tblInd w:w="-7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left w:w="10" w:type="dxa"/>
          <w:right w:w="10" w:type="dxa"/>
        </w:tblCellMar>
        <w:tblLook w:val="04A0"/>
      </w:tblPr>
      <w:tblGrid>
        <w:gridCol w:w="4334"/>
        <w:gridCol w:w="6520"/>
      </w:tblGrid>
      <w:tr w:rsidR="00571428" w:rsidTr="00D66867">
        <w:trPr>
          <w:trHeight w:val="150"/>
        </w:trPr>
        <w:tc>
          <w:tcPr>
            <w:tcW w:w="43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D66867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Contexte </w:t>
            </w:r>
          </w:p>
        </w:tc>
        <w:tc>
          <w:tcPr>
            <w:tcW w:w="65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EF0245" w:rsidRDefault="00FE1EE7" w:rsidP="006C0869">
            <w:pPr>
              <w:pStyle w:val="TableContents"/>
              <w:spacing w:before="120" w:after="120"/>
            </w:pPr>
            <w:r>
              <w:t>L’environnement institutionnel français n’est pas toujours très intelligible, et le fonctionnement de la société française repose sur des valeurs qu’il convient de connaître pour assurer une vie sociale apaisée</w:t>
            </w:r>
          </w:p>
        </w:tc>
      </w:tr>
      <w:tr w:rsidR="00571428" w:rsidTr="00D66867">
        <w:trPr>
          <w:trHeight w:val="142"/>
        </w:trPr>
        <w:tc>
          <w:tcPr>
            <w:tcW w:w="43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D66867" w:rsidRPr="00D66867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Objectifs et dynamiques</w:t>
            </w:r>
          </w:p>
          <w:p w:rsidR="00571428" w:rsidRDefault="00571428">
            <w:pPr>
              <w:pStyle w:val="TableContents"/>
              <w:spacing w:before="120" w:after="120"/>
              <w:jc w:val="both"/>
              <w:rPr>
                <w:rFonts w:ascii="Verdana" w:hAnsi="Verdana" w:cs="Arial"/>
                <w:i/>
                <w:color w:val="1F497D"/>
                <w:sz w:val="16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FE1EE7" w:rsidP="00017B8D">
            <w:pPr>
              <w:pStyle w:val="TableContents"/>
              <w:numPr>
                <w:ilvl w:val="0"/>
                <w:numId w:val="1"/>
              </w:numPr>
              <w:tabs>
                <w:tab w:val="clear" w:pos="720"/>
                <w:tab w:val="num" w:pos="415"/>
              </w:tabs>
              <w:spacing w:before="120" w:after="120"/>
              <w:ind w:left="415" w:hanging="283"/>
            </w:pPr>
            <w:r>
              <w:t>Inculquer les valeurs républicaines et le mode de fonctionnement des institution</w:t>
            </w:r>
            <w:r w:rsidR="00017B8D">
              <w:t>s française</w:t>
            </w:r>
          </w:p>
          <w:p w:rsidR="00D629F7" w:rsidRDefault="00D629F7" w:rsidP="00017B8D">
            <w:pPr>
              <w:pStyle w:val="TableContents"/>
              <w:numPr>
                <w:ilvl w:val="0"/>
                <w:numId w:val="1"/>
              </w:numPr>
              <w:tabs>
                <w:tab w:val="clear" w:pos="720"/>
                <w:tab w:val="num" w:pos="415"/>
              </w:tabs>
              <w:spacing w:before="120" w:after="120"/>
              <w:ind w:left="415" w:hanging="283"/>
            </w:pPr>
            <w:r>
              <w:t xml:space="preserve">Faciliter aux usagers l’accès à leurs droits </w:t>
            </w:r>
          </w:p>
          <w:p w:rsidR="00022E9A" w:rsidRPr="00EF0245" w:rsidRDefault="00022E9A" w:rsidP="00017B8D">
            <w:pPr>
              <w:pStyle w:val="TableContents"/>
              <w:numPr>
                <w:ilvl w:val="0"/>
                <w:numId w:val="1"/>
              </w:numPr>
              <w:tabs>
                <w:tab w:val="clear" w:pos="720"/>
                <w:tab w:val="num" w:pos="415"/>
              </w:tabs>
              <w:spacing w:before="120" w:after="120"/>
              <w:ind w:left="415" w:hanging="283"/>
            </w:pPr>
            <w:r>
              <w:t>Sensibiliser les acteurs publics à la diversité culturelle</w:t>
            </w:r>
          </w:p>
        </w:tc>
      </w:tr>
      <w:tr w:rsidR="00571428" w:rsidTr="00D66867">
        <w:trPr>
          <w:trHeight w:val="170"/>
        </w:trPr>
        <w:tc>
          <w:tcPr>
            <w:tcW w:w="43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EF024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Réalisations attendues </w:t>
            </w:r>
          </w:p>
          <w:p w:rsidR="00571428" w:rsidRDefault="00571428" w:rsidP="00D66867">
            <w:pPr>
              <w:pStyle w:val="TableContents"/>
              <w:spacing w:before="120" w:after="120"/>
              <w:ind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1A1A17" w:rsidP="002C21D1">
            <w:pPr>
              <w:pStyle w:val="TableContents"/>
              <w:numPr>
                <w:ilvl w:val="0"/>
                <w:numId w:val="1"/>
              </w:numPr>
              <w:tabs>
                <w:tab w:val="clear" w:pos="720"/>
                <w:tab w:val="num" w:pos="415"/>
              </w:tabs>
              <w:spacing w:before="120" w:after="120"/>
              <w:ind w:left="415" w:hanging="283"/>
            </w:pPr>
            <w:r>
              <w:t xml:space="preserve">Apprentissage de </w:t>
            </w:r>
            <w:r w:rsidR="00D479DF">
              <w:t>l’organisation institutionnelle française (les différentes institutions, leur rôle, leur fonctionnement,…)</w:t>
            </w:r>
            <w:r>
              <w:t>,</w:t>
            </w:r>
            <w:r w:rsidR="00D479DF">
              <w:t xml:space="preserve"> à destination des usagers</w:t>
            </w:r>
          </w:p>
          <w:p w:rsidR="003757AA" w:rsidRDefault="00B3684A" w:rsidP="002C21D1">
            <w:pPr>
              <w:pStyle w:val="TableContents"/>
              <w:numPr>
                <w:ilvl w:val="0"/>
                <w:numId w:val="1"/>
              </w:numPr>
              <w:tabs>
                <w:tab w:val="clear" w:pos="720"/>
                <w:tab w:val="num" w:pos="415"/>
              </w:tabs>
              <w:spacing w:before="120" w:after="120"/>
              <w:ind w:left="415" w:hanging="283"/>
            </w:pPr>
            <w:r>
              <w:t>F</w:t>
            </w:r>
            <w:r w:rsidR="003757AA" w:rsidRPr="003757AA">
              <w:t>ormations aux savoirs de base</w:t>
            </w:r>
          </w:p>
          <w:p w:rsidR="00430F07" w:rsidRDefault="00D479DF">
            <w:pPr>
              <w:pStyle w:val="TableContents"/>
              <w:numPr>
                <w:ilvl w:val="0"/>
                <w:numId w:val="1"/>
              </w:numPr>
              <w:tabs>
                <w:tab w:val="clear" w:pos="720"/>
                <w:tab w:val="num" w:pos="415"/>
              </w:tabs>
              <w:spacing w:before="120" w:after="120"/>
              <w:ind w:left="415" w:hanging="283"/>
            </w:pPr>
            <w:r>
              <w:t xml:space="preserve">Formation / séminaires </w:t>
            </w:r>
            <w:r w:rsidR="00AA3BA2">
              <w:t>sur</w:t>
            </w:r>
            <w:r>
              <w:t xml:space="preserve"> la posture professionnelle face aux diversités culturelles</w:t>
            </w:r>
            <w:r w:rsidR="001A1A17">
              <w:t>,</w:t>
            </w:r>
            <w:r>
              <w:t xml:space="preserve"> à destination des institutionnels en contact avec les usagers</w:t>
            </w:r>
          </w:p>
        </w:tc>
      </w:tr>
      <w:tr w:rsidR="00571428" w:rsidTr="00D66867">
        <w:tc>
          <w:tcPr>
            <w:tcW w:w="43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D66867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Effets attendus</w:t>
            </w:r>
          </w:p>
        </w:tc>
        <w:tc>
          <w:tcPr>
            <w:tcW w:w="65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BF164E" w:rsidRPr="00EF0245" w:rsidRDefault="00BF164E" w:rsidP="006300D9">
            <w:pPr>
              <w:pStyle w:val="TableContents"/>
              <w:spacing w:before="120" w:after="120"/>
            </w:pPr>
            <w:r>
              <w:t xml:space="preserve">Meilleure compréhension réciproque des agents institutionnels et </w:t>
            </w:r>
            <w:r w:rsidR="006300D9">
              <w:t xml:space="preserve">salariés associatifs </w:t>
            </w:r>
            <w:r>
              <w:t>avec les usagers.</w:t>
            </w:r>
          </w:p>
        </w:tc>
      </w:tr>
      <w:tr w:rsidR="00571428" w:rsidTr="00D66867">
        <w:tc>
          <w:tcPr>
            <w:tcW w:w="43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D66867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Echelle Territoriale</w:t>
            </w:r>
          </w:p>
        </w:tc>
        <w:tc>
          <w:tcPr>
            <w:tcW w:w="65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0B0B12" w:rsidRDefault="00D629F7" w:rsidP="000B0B12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A l’échelle de la Métropole, couverture de tous les quartiers</w:t>
            </w:r>
          </w:p>
        </w:tc>
      </w:tr>
      <w:tr w:rsidR="00571428" w:rsidTr="00D66867">
        <w:tc>
          <w:tcPr>
            <w:tcW w:w="43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D66867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Animateur</w:t>
            </w:r>
          </w:p>
        </w:tc>
        <w:tc>
          <w:tcPr>
            <w:tcW w:w="65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9A2CCD" w:rsidP="000B0B12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Préfecture</w:t>
            </w:r>
          </w:p>
          <w:p w:rsidR="00BF164E" w:rsidRDefault="00BF164E" w:rsidP="000B0B12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Métropole</w:t>
            </w:r>
          </w:p>
          <w:p w:rsidR="00BF164E" w:rsidRPr="000B0B12" w:rsidRDefault="00BF164E" w:rsidP="000B0B12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Villes</w:t>
            </w:r>
          </w:p>
        </w:tc>
      </w:tr>
      <w:tr w:rsidR="00571428" w:rsidTr="00D66867">
        <w:trPr>
          <w:trHeight w:val="95"/>
        </w:trPr>
        <w:tc>
          <w:tcPr>
            <w:tcW w:w="43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EF024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Partenaires mobilisables (dont habitants)</w:t>
            </w:r>
          </w:p>
          <w:p w:rsidR="00571428" w:rsidRPr="00D66867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Dispositifs mobilisables</w:t>
            </w:r>
          </w:p>
        </w:tc>
        <w:tc>
          <w:tcPr>
            <w:tcW w:w="65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EF0245" w:rsidRDefault="00017B8D" w:rsidP="00EF0245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Ensemble des acteurs du contrat de ville</w:t>
            </w:r>
          </w:p>
        </w:tc>
      </w:tr>
      <w:tr w:rsidR="00571428" w:rsidTr="00D66867">
        <w:tc>
          <w:tcPr>
            <w:tcW w:w="43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EF024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Financements mobilisables</w:t>
            </w:r>
          </w:p>
          <w:p w:rsidR="00571428" w:rsidRDefault="00571428" w:rsidP="00D66867">
            <w:pPr>
              <w:pStyle w:val="TableContents"/>
              <w:spacing w:before="120" w:after="120"/>
              <w:ind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017B8D" w:rsidP="00EF0245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Crédits du CGET (</w:t>
            </w:r>
            <w:r w:rsidR="00BF164E">
              <w:t>BOP 147</w:t>
            </w:r>
            <w:r>
              <w:t>)</w:t>
            </w:r>
          </w:p>
          <w:p w:rsidR="00BF164E" w:rsidRPr="00EF0245" w:rsidRDefault="00BF164E" w:rsidP="00EF0245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…</w:t>
            </w:r>
          </w:p>
        </w:tc>
      </w:tr>
      <w:tr w:rsidR="00571428" w:rsidTr="00D66867">
        <w:trPr>
          <w:trHeight w:val="272"/>
        </w:trPr>
        <w:tc>
          <w:tcPr>
            <w:tcW w:w="43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D66867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Calendrier</w:t>
            </w:r>
          </w:p>
        </w:tc>
        <w:tc>
          <w:tcPr>
            <w:tcW w:w="65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0B0B12" w:rsidRDefault="00017B8D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Actions annuelles</w:t>
            </w:r>
          </w:p>
        </w:tc>
      </w:tr>
      <w:tr w:rsidR="00571428" w:rsidTr="00D66867">
        <w:tc>
          <w:tcPr>
            <w:tcW w:w="43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Indicateurs de réalisation</w:t>
            </w:r>
          </w:p>
        </w:tc>
        <w:tc>
          <w:tcPr>
            <w:tcW w:w="65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BF164E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Nombre de bénéficiaires de temps de « formation »</w:t>
            </w:r>
            <w:r w:rsidR="009A2CCD">
              <w:t xml:space="preserve"> par type d’intervention</w:t>
            </w:r>
          </w:p>
        </w:tc>
      </w:tr>
      <w:tr w:rsidR="00220E48" w:rsidTr="00D66867">
        <w:tc>
          <w:tcPr>
            <w:tcW w:w="43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220E48" w:rsidRDefault="00220E48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Indicateurs d’effet</w:t>
            </w:r>
          </w:p>
        </w:tc>
        <w:tc>
          <w:tcPr>
            <w:tcW w:w="65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220E48" w:rsidRPr="000B0B12" w:rsidRDefault="00220E48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</w:p>
        </w:tc>
      </w:tr>
      <w:tr w:rsidR="00571428" w:rsidTr="00D66867">
        <w:tc>
          <w:tcPr>
            <w:tcW w:w="43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EF024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Liens autres enjeux / fiches « orientations opérationnelles »</w:t>
            </w:r>
          </w:p>
        </w:tc>
        <w:tc>
          <w:tcPr>
            <w:tcW w:w="65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0B0B12" w:rsidRDefault="006300D9" w:rsidP="00F43CDC">
            <w:pPr>
              <w:pStyle w:val="TableContents"/>
              <w:spacing w:before="120" w:after="120"/>
              <w:ind w:left="699"/>
            </w:pPr>
            <w:r>
              <w:t xml:space="preserve">Fiche 414 - </w:t>
            </w:r>
            <w:r w:rsidRPr="006300D9">
              <w:t>Sensibiliser aux valeurs de la République</w:t>
            </w:r>
          </w:p>
        </w:tc>
      </w:tr>
    </w:tbl>
    <w:p w:rsidR="00571428" w:rsidRDefault="00571428">
      <w:pPr>
        <w:pStyle w:val="Normal1"/>
        <w:widowControl/>
        <w:suppressAutoHyphens w:val="0"/>
        <w:textAlignment w:val="auto"/>
      </w:pPr>
    </w:p>
    <w:sectPr w:rsidR="00571428" w:rsidSect="00571428">
      <w:footerReference w:type="default" r:id="rId7"/>
      <w:pgSz w:w="11906" w:h="16838"/>
      <w:pgMar w:top="454" w:right="567" w:bottom="737" w:left="567" w:header="0" w:footer="567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4905" w:rsidRDefault="00A84905" w:rsidP="00571428">
      <w:r>
        <w:separator/>
      </w:r>
    </w:p>
  </w:endnote>
  <w:endnote w:type="continuationSeparator" w:id="0">
    <w:p w:rsidR="00A84905" w:rsidRDefault="00A84905" w:rsidP="005714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428" w:rsidRDefault="00EF0245">
    <w:pPr>
      <w:pStyle w:val="Pieddepage1"/>
      <w:widowControl/>
      <w:jc w:val="right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>Contrat de ville</w:t>
    </w:r>
    <w:r w:rsidR="00952E11">
      <w:rPr>
        <w:rFonts w:ascii="Verdana" w:hAnsi="Verdana" w:cs="Verdana"/>
        <w:sz w:val="16"/>
        <w:szCs w:val="16"/>
      </w:rPr>
      <w:t xml:space="preserve"> - </w:t>
    </w:r>
    <w:r>
      <w:rPr>
        <w:rFonts w:ascii="Verdana" w:hAnsi="Verdana" w:cs="Verdana"/>
        <w:sz w:val="16"/>
        <w:szCs w:val="16"/>
      </w:rPr>
      <w:t>Fiche orientation opérationnelle</w:t>
    </w:r>
  </w:p>
  <w:p w:rsidR="008173A1" w:rsidRDefault="008173A1" w:rsidP="008173A1">
    <w:pPr>
      <w:pStyle w:val="Pieddepage1"/>
      <w:widowControl/>
      <w:jc w:val="right"/>
    </w:pPr>
    <w:r>
      <w:rPr>
        <w:rFonts w:ascii="Verdana" w:hAnsi="Verdana" w:cs="Verdana"/>
        <w:sz w:val="16"/>
        <w:szCs w:val="16"/>
      </w:rPr>
      <w:t xml:space="preserve">Date de mise à jour : </w:t>
    </w:r>
    <w:r w:rsidR="00952E11">
      <w:rPr>
        <w:rFonts w:ascii="Verdana" w:hAnsi="Verdana" w:cs="Verdana"/>
        <w:sz w:val="16"/>
        <w:szCs w:val="16"/>
      </w:rPr>
      <w:t>15 novembre</w:t>
    </w:r>
    <w:r>
      <w:rPr>
        <w:rFonts w:ascii="Verdana" w:hAnsi="Verdana" w:cs="Verdana"/>
        <w:sz w:val="16"/>
        <w:szCs w:val="16"/>
      </w:rPr>
      <w:t xml:space="preserve">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4905" w:rsidRDefault="00A84905" w:rsidP="00571428">
      <w:r>
        <w:separator/>
      </w:r>
    </w:p>
  </w:footnote>
  <w:footnote w:type="continuationSeparator" w:id="0">
    <w:p w:rsidR="00A84905" w:rsidRDefault="00A84905" w:rsidP="005714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D015C"/>
    <w:multiLevelType w:val="hybridMultilevel"/>
    <w:tmpl w:val="905CC0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6A4E52"/>
    <w:multiLevelType w:val="multilevel"/>
    <w:tmpl w:val="B712DCA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4D061457"/>
    <w:multiLevelType w:val="multilevel"/>
    <w:tmpl w:val="66A686A0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1428"/>
    <w:rsid w:val="00017057"/>
    <w:rsid w:val="00017B8D"/>
    <w:rsid w:val="00022E9A"/>
    <w:rsid w:val="000B0B12"/>
    <w:rsid w:val="00167BA1"/>
    <w:rsid w:val="001A1A17"/>
    <w:rsid w:val="00214605"/>
    <w:rsid w:val="00220E48"/>
    <w:rsid w:val="002267AC"/>
    <w:rsid w:val="002C21D1"/>
    <w:rsid w:val="00305F55"/>
    <w:rsid w:val="003557D2"/>
    <w:rsid w:val="003757AA"/>
    <w:rsid w:val="00430F07"/>
    <w:rsid w:val="00482C5F"/>
    <w:rsid w:val="004943F0"/>
    <w:rsid w:val="004F7116"/>
    <w:rsid w:val="0052709A"/>
    <w:rsid w:val="00536AE8"/>
    <w:rsid w:val="00571428"/>
    <w:rsid w:val="00624EE2"/>
    <w:rsid w:val="006300D9"/>
    <w:rsid w:val="006C0869"/>
    <w:rsid w:val="006F009B"/>
    <w:rsid w:val="008173A1"/>
    <w:rsid w:val="00952E11"/>
    <w:rsid w:val="00955F62"/>
    <w:rsid w:val="009A2CCD"/>
    <w:rsid w:val="009E0619"/>
    <w:rsid w:val="009E2EC7"/>
    <w:rsid w:val="00A2309A"/>
    <w:rsid w:val="00A84905"/>
    <w:rsid w:val="00AA3BA2"/>
    <w:rsid w:val="00AA54A2"/>
    <w:rsid w:val="00B147A5"/>
    <w:rsid w:val="00B3684A"/>
    <w:rsid w:val="00BF164E"/>
    <w:rsid w:val="00C816AE"/>
    <w:rsid w:val="00CC64F4"/>
    <w:rsid w:val="00D22DF0"/>
    <w:rsid w:val="00D479DF"/>
    <w:rsid w:val="00D629F7"/>
    <w:rsid w:val="00D66867"/>
    <w:rsid w:val="00E33B9B"/>
    <w:rsid w:val="00E34BB6"/>
    <w:rsid w:val="00EC1801"/>
    <w:rsid w:val="00ED7B87"/>
    <w:rsid w:val="00EF0245"/>
    <w:rsid w:val="00F43CDC"/>
    <w:rsid w:val="00F80962"/>
    <w:rsid w:val="00FC4579"/>
    <w:rsid w:val="00FE16A4"/>
    <w:rsid w:val="00FE1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711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rsid w:val="00ED7F39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customStyle="1" w:styleId="Titre11">
    <w:name w:val="Titre 11"/>
    <w:basedOn w:val="Heading"/>
    <w:qFormat/>
    <w:rsid w:val="00DA6A1D"/>
    <w:pPr>
      <w:outlineLvl w:val="0"/>
    </w:pPr>
    <w:rPr>
      <w:b/>
      <w:bCs/>
    </w:rPr>
  </w:style>
  <w:style w:type="paragraph" w:customStyle="1" w:styleId="Titre21">
    <w:name w:val="Titre 21"/>
    <w:basedOn w:val="Heading"/>
    <w:qFormat/>
    <w:rsid w:val="00DA6A1D"/>
    <w:pPr>
      <w:outlineLvl w:val="1"/>
    </w:pPr>
    <w:rPr>
      <w:b/>
      <w:bCs/>
      <w:i/>
      <w:iCs/>
    </w:rPr>
  </w:style>
  <w:style w:type="paragraph" w:customStyle="1" w:styleId="Titre31">
    <w:name w:val="Titre 31"/>
    <w:basedOn w:val="Heading"/>
    <w:qFormat/>
    <w:rsid w:val="00DA6A1D"/>
    <w:pPr>
      <w:outlineLvl w:val="2"/>
    </w:pPr>
    <w:rPr>
      <w:b/>
      <w:bCs/>
    </w:rPr>
  </w:style>
  <w:style w:type="character" w:customStyle="1" w:styleId="WW8Num1z0">
    <w:name w:val="WW8Num1z0"/>
    <w:rsid w:val="00DA6A1D"/>
    <w:rPr>
      <w:rFonts w:ascii="Symbol" w:eastAsia="Times New Roman" w:hAnsi="Symbol" w:cs="Verdana"/>
    </w:rPr>
  </w:style>
  <w:style w:type="character" w:customStyle="1" w:styleId="WW8Num1z1">
    <w:name w:val="WW8Num1z1"/>
    <w:rsid w:val="00DA6A1D"/>
    <w:rPr>
      <w:rFonts w:ascii="OpenSymbol" w:hAnsi="OpenSymbol" w:cs="Courier New"/>
    </w:rPr>
  </w:style>
  <w:style w:type="character" w:customStyle="1" w:styleId="WW8Num2z0">
    <w:name w:val="WW8Num2z0"/>
    <w:rsid w:val="00DA6A1D"/>
    <w:rPr>
      <w:rFonts w:ascii="Verdana" w:eastAsia="SimSun" w:hAnsi="Verdana" w:cs="Mangal"/>
    </w:rPr>
  </w:style>
  <w:style w:type="character" w:customStyle="1" w:styleId="WW8Num2z1">
    <w:name w:val="WW8Num2z1"/>
    <w:rsid w:val="00DA6A1D"/>
    <w:rPr>
      <w:rFonts w:ascii="Courier New" w:hAnsi="Courier New" w:cs="Courier New"/>
    </w:rPr>
  </w:style>
  <w:style w:type="character" w:customStyle="1" w:styleId="WW8Num2z2">
    <w:name w:val="WW8Num2z2"/>
    <w:rsid w:val="00DA6A1D"/>
    <w:rPr>
      <w:rFonts w:ascii="Wingdings" w:hAnsi="Wingdings" w:cs="Wingdings"/>
    </w:rPr>
  </w:style>
  <w:style w:type="character" w:customStyle="1" w:styleId="WW8Num2z3">
    <w:name w:val="WW8Num2z3"/>
    <w:rsid w:val="00DA6A1D"/>
    <w:rPr>
      <w:rFonts w:ascii="Symbol" w:hAnsi="Symbol" w:cs="Symbol"/>
    </w:rPr>
  </w:style>
  <w:style w:type="character" w:customStyle="1" w:styleId="WW8Num4z0">
    <w:name w:val="WW8Num4z0"/>
    <w:rsid w:val="00DA6A1D"/>
    <w:rPr>
      <w:rFonts w:ascii="Verdana" w:eastAsia="Times New Roman" w:hAnsi="Verdana" w:cs="Verdana"/>
    </w:rPr>
  </w:style>
  <w:style w:type="character" w:customStyle="1" w:styleId="WW8Num4z1">
    <w:name w:val="WW8Num4z1"/>
    <w:rsid w:val="00DA6A1D"/>
    <w:rPr>
      <w:rFonts w:ascii="Courier New" w:hAnsi="Courier New" w:cs="Courier New"/>
    </w:rPr>
  </w:style>
  <w:style w:type="character" w:customStyle="1" w:styleId="WW8Num4z2">
    <w:name w:val="WW8Num4z2"/>
    <w:rsid w:val="00DA6A1D"/>
    <w:rPr>
      <w:rFonts w:ascii="Wingdings" w:hAnsi="Wingdings" w:cs="Wingdings"/>
    </w:rPr>
  </w:style>
  <w:style w:type="character" w:customStyle="1" w:styleId="WW8Num4z3">
    <w:name w:val="WW8Num4z3"/>
    <w:rsid w:val="00DA6A1D"/>
    <w:rPr>
      <w:rFonts w:ascii="Symbol" w:hAnsi="Symbol" w:cs="Symbol"/>
    </w:rPr>
  </w:style>
  <w:style w:type="character" w:customStyle="1" w:styleId="WW8Num5z0">
    <w:name w:val="WW8Num5z0"/>
    <w:rsid w:val="00DA6A1D"/>
    <w:rPr>
      <w:rFonts w:ascii="Symbol" w:hAnsi="Symbol" w:cs="OpenSymbol"/>
    </w:rPr>
  </w:style>
  <w:style w:type="character" w:customStyle="1" w:styleId="WW8Num5z1">
    <w:name w:val="WW8Num5z1"/>
    <w:rsid w:val="00DA6A1D"/>
    <w:rPr>
      <w:rFonts w:ascii="OpenSymbol" w:hAnsi="OpenSymbol" w:cs="OpenSymbol"/>
    </w:rPr>
  </w:style>
  <w:style w:type="character" w:customStyle="1" w:styleId="WW8Num5z2">
    <w:name w:val="WW8Num5z2"/>
    <w:rsid w:val="00DA6A1D"/>
    <w:rPr>
      <w:rFonts w:ascii="Wingdings" w:hAnsi="Wingdings" w:cs="Wingdings"/>
    </w:rPr>
  </w:style>
  <w:style w:type="character" w:customStyle="1" w:styleId="WW8Num5z3">
    <w:name w:val="WW8Num5z3"/>
    <w:rsid w:val="00DA6A1D"/>
    <w:rPr>
      <w:rFonts w:ascii="Symbol" w:hAnsi="Symbol" w:cs="Symbol"/>
    </w:rPr>
  </w:style>
  <w:style w:type="character" w:customStyle="1" w:styleId="WW8Num6z0">
    <w:name w:val="WW8Num6z0"/>
    <w:rsid w:val="00DA6A1D"/>
    <w:rPr>
      <w:rFonts w:ascii="Symbol" w:hAnsi="Symbol" w:cs="OpenSymbol"/>
    </w:rPr>
  </w:style>
  <w:style w:type="character" w:customStyle="1" w:styleId="WW8Num6z1">
    <w:name w:val="WW8Num6z1"/>
    <w:rsid w:val="00DA6A1D"/>
    <w:rPr>
      <w:rFonts w:ascii="OpenSymbol" w:hAnsi="OpenSymbol" w:cs="OpenSymbol"/>
    </w:rPr>
  </w:style>
  <w:style w:type="character" w:customStyle="1" w:styleId="Policepardfaut1">
    <w:name w:val="Police par défaut1"/>
    <w:rsid w:val="00DA6A1D"/>
  </w:style>
  <w:style w:type="character" w:customStyle="1" w:styleId="NumberingSymbols">
    <w:name w:val="Numbering Symbols"/>
    <w:rsid w:val="00DA6A1D"/>
    <w:rPr>
      <w:b/>
      <w:bCs/>
    </w:rPr>
  </w:style>
  <w:style w:type="character" w:customStyle="1" w:styleId="Bullets">
    <w:name w:val="Bullets"/>
    <w:rsid w:val="00DA6A1D"/>
    <w:rPr>
      <w:rFonts w:ascii="OpenSymbol" w:eastAsia="OpenSymbol" w:hAnsi="OpenSymbol" w:cs="OpenSymbol"/>
    </w:rPr>
  </w:style>
  <w:style w:type="character" w:customStyle="1" w:styleId="En-tteCar">
    <w:name w:val="En-tête Car"/>
    <w:rsid w:val="00DA6A1D"/>
    <w:rPr>
      <w:szCs w:val="21"/>
    </w:rPr>
  </w:style>
  <w:style w:type="character" w:styleId="Numrodepage">
    <w:name w:val="page number"/>
    <w:basedOn w:val="Policepardfaut1"/>
    <w:rsid w:val="00DA6A1D"/>
  </w:style>
  <w:style w:type="character" w:customStyle="1" w:styleId="Puces">
    <w:name w:val="Puces"/>
    <w:rsid w:val="00DA6A1D"/>
    <w:rPr>
      <w:rFonts w:ascii="OpenSymbol" w:eastAsia="OpenSymbol" w:hAnsi="OpenSymbol" w:cs="OpenSymbol"/>
    </w:rPr>
  </w:style>
  <w:style w:type="character" w:customStyle="1" w:styleId="ListLabel1">
    <w:name w:val="ListLabel 1"/>
    <w:rsid w:val="00571428"/>
    <w:rPr>
      <w:rFonts w:cs="OpenSymbol"/>
    </w:rPr>
  </w:style>
  <w:style w:type="character" w:customStyle="1" w:styleId="ListLabel2">
    <w:name w:val="ListLabel 2"/>
    <w:rsid w:val="00571428"/>
    <w:rPr>
      <w:rFonts w:eastAsia="SimSun"/>
    </w:rPr>
  </w:style>
  <w:style w:type="character" w:customStyle="1" w:styleId="ListLabel3">
    <w:name w:val="ListLabel 3"/>
    <w:rsid w:val="00571428"/>
    <w:rPr>
      <w:rFonts w:cs="Courier New"/>
    </w:rPr>
  </w:style>
  <w:style w:type="paragraph" w:customStyle="1" w:styleId="Heading">
    <w:name w:val="Heading"/>
    <w:basedOn w:val="WW-Standard"/>
    <w:next w:val="TextBody"/>
    <w:rsid w:val="00DA6A1D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WW-Standard"/>
    <w:rsid w:val="00DA6A1D"/>
    <w:pPr>
      <w:spacing w:after="120" w:line="288" w:lineRule="auto"/>
    </w:pPr>
  </w:style>
  <w:style w:type="paragraph" w:styleId="Liste">
    <w:name w:val="List"/>
    <w:basedOn w:val="TextBody"/>
    <w:rsid w:val="00DA6A1D"/>
  </w:style>
  <w:style w:type="paragraph" w:customStyle="1" w:styleId="Lgende1">
    <w:name w:val="Légende1"/>
    <w:basedOn w:val="Normal1"/>
    <w:rsid w:val="00571428"/>
    <w:pPr>
      <w:suppressLineNumbers/>
      <w:spacing w:before="120" w:after="120"/>
    </w:pPr>
    <w:rPr>
      <w:i/>
      <w:iCs/>
    </w:rPr>
  </w:style>
  <w:style w:type="paragraph" w:customStyle="1" w:styleId="Index">
    <w:name w:val="Index"/>
    <w:rsid w:val="00DA6A1D"/>
    <w:pPr>
      <w:widowControl w:val="0"/>
      <w:suppressLineNumbers/>
      <w:suppressAutoHyphens/>
    </w:pPr>
    <w:rPr>
      <w:sz w:val="24"/>
    </w:rPr>
  </w:style>
  <w:style w:type="paragraph" w:customStyle="1" w:styleId="Titre1">
    <w:name w:val="Titre1"/>
    <w:basedOn w:val="Normal1"/>
    <w:rsid w:val="00DA6A1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Lgende">
    <w:name w:val="caption"/>
    <w:qFormat/>
    <w:rsid w:val="00DA6A1D"/>
    <w:pPr>
      <w:widowControl w:val="0"/>
      <w:suppressLineNumbers/>
      <w:suppressAutoHyphens/>
      <w:spacing w:before="120" w:after="120"/>
    </w:pPr>
    <w:rPr>
      <w:i/>
      <w:iCs/>
      <w:sz w:val="24"/>
    </w:rPr>
  </w:style>
  <w:style w:type="paragraph" w:customStyle="1" w:styleId="WW-Standard">
    <w:name w:val="WW-Standard"/>
    <w:rsid w:val="00DA6A1D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customStyle="1" w:styleId="Pieddepage1">
    <w:name w:val="Pied de page1"/>
    <w:basedOn w:val="WW-Standard"/>
    <w:rsid w:val="00DA6A1D"/>
    <w:pPr>
      <w:suppressLineNumbers/>
    </w:pPr>
  </w:style>
  <w:style w:type="paragraph" w:customStyle="1" w:styleId="TableContents">
    <w:name w:val="Table Contents"/>
    <w:basedOn w:val="WW-Standard"/>
    <w:rsid w:val="00DA6A1D"/>
    <w:pPr>
      <w:suppressLineNumbers/>
    </w:pPr>
  </w:style>
  <w:style w:type="paragraph" w:customStyle="1" w:styleId="En-tte1">
    <w:name w:val="En-tête1"/>
    <w:basedOn w:val="Normal1"/>
    <w:rsid w:val="00DA6A1D"/>
    <w:rPr>
      <w:szCs w:val="21"/>
    </w:rPr>
  </w:style>
  <w:style w:type="paragraph" w:customStyle="1" w:styleId="Contenudetableau">
    <w:name w:val="Contenu de tableau"/>
    <w:basedOn w:val="Normal1"/>
    <w:rsid w:val="00DA6A1D"/>
    <w:pPr>
      <w:suppressLineNumbers/>
    </w:pPr>
  </w:style>
  <w:style w:type="paragraph" w:customStyle="1" w:styleId="Titredetableau">
    <w:name w:val="Titre de tableau"/>
    <w:basedOn w:val="Contenudetableau"/>
    <w:rsid w:val="00DA6A1D"/>
    <w:pPr>
      <w:jc w:val="center"/>
    </w:pPr>
    <w:rPr>
      <w:b/>
      <w:bCs/>
    </w:rPr>
  </w:style>
  <w:style w:type="paragraph" w:styleId="NormalWeb">
    <w:name w:val="Normal (Web)"/>
    <w:basedOn w:val="Normal1"/>
    <w:uiPriority w:val="99"/>
    <w:unhideWhenUsed/>
    <w:rsid w:val="009910D0"/>
    <w:pPr>
      <w:widowControl/>
      <w:suppressAutoHyphens w:val="0"/>
      <w:spacing w:before="280" w:after="280"/>
      <w:textAlignment w:val="auto"/>
    </w:pPr>
    <w:rPr>
      <w:rFonts w:eastAsia="Times New Roman" w:cs="Times New Roman"/>
      <w:lang w:eastAsia="fr-FR" w:bidi="ar-SA"/>
    </w:rPr>
  </w:style>
  <w:style w:type="table" w:styleId="Grilledutableau">
    <w:name w:val="Table Grid"/>
    <w:basedOn w:val="TableauNormal"/>
    <w:rsid w:val="00450F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1"/>
    <w:rsid w:val="008173A1"/>
    <w:pPr>
      <w:tabs>
        <w:tab w:val="center" w:pos="4536"/>
        <w:tab w:val="right" w:pos="9072"/>
      </w:tabs>
    </w:pPr>
  </w:style>
  <w:style w:type="character" w:customStyle="1" w:styleId="En-tteCar1">
    <w:name w:val="En-tête Car1"/>
    <w:basedOn w:val="Policepardfaut"/>
    <w:link w:val="En-tte"/>
    <w:rsid w:val="008173A1"/>
  </w:style>
  <w:style w:type="paragraph" w:styleId="Pieddepage">
    <w:name w:val="footer"/>
    <w:basedOn w:val="Normal"/>
    <w:link w:val="PieddepageCar"/>
    <w:rsid w:val="008173A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8173A1"/>
  </w:style>
  <w:style w:type="character" w:styleId="Marquedecommentaire">
    <w:name w:val="annotation reference"/>
    <w:basedOn w:val="Policepardfaut"/>
    <w:rsid w:val="00955F62"/>
    <w:rPr>
      <w:sz w:val="16"/>
      <w:szCs w:val="16"/>
    </w:rPr>
  </w:style>
  <w:style w:type="paragraph" w:styleId="Commentaire">
    <w:name w:val="annotation text"/>
    <w:basedOn w:val="Normal"/>
    <w:link w:val="CommentaireCar"/>
    <w:rsid w:val="00955F62"/>
  </w:style>
  <w:style w:type="character" w:customStyle="1" w:styleId="CommentaireCar">
    <w:name w:val="Commentaire Car"/>
    <w:basedOn w:val="Policepardfaut"/>
    <w:link w:val="Commentaire"/>
    <w:rsid w:val="00955F62"/>
  </w:style>
  <w:style w:type="paragraph" w:styleId="Objetducommentaire">
    <w:name w:val="annotation subject"/>
    <w:basedOn w:val="Commentaire"/>
    <w:next w:val="Commentaire"/>
    <w:link w:val="ObjetducommentaireCar"/>
    <w:rsid w:val="00955F6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955F62"/>
    <w:rPr>
      <w:b/>
      <w:bCs/>
    </w:rPr>
  </w:style>
  <w:style w:type="paragraph" w:styleId="Textedebulles">
    <w:name w:val="Balloon Text"/>
    <w:basedOn w:val="Normal"/>
    <w:link w:val="TextedebullesCar"/>
    <w:rsid w:val="00955F6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55F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266</Words>
  <Characters>1468</Characters>
  <Application>Microsoft Office Word</Application>
  <DocSecurity>0</DocSecurity>
  <Lines>12</Lines>
  <Paragraphs>3</Paragraphs>
  <ScaleCrop>false</ScaleCrop>
  <Company>MSS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ACTION TYPE</dc:title>
  <dc:creator>MONTIGNY henri</dc:creator>
  <cp:lastModifiedBy>R.V. (DDCS) </cp:lastModifiedBy>
  <cp:revision>14</cp:revision>
  <cp:lastPrinted>2015-05-27T07:28:00Z</cp:lastPrinted>
  <dcterms:created xsi:type="dcterms:W3CDTF">2017-08-31T08:23:00Z</dcterms:created>
  <dcterms:modified xsi:type="dcterms:W3CDTF">2017-11-09T10:51:00Z</dcterms:modified>
  <dc:language>fr-FR</dc:language>
</cp:coreProperties>
</file>