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6CB77" w14:textId="77777777" w:rsidR="00141401" w:rsidRPr="008D57C0" w:rsidRDefault="00806B91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7358F5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2.1.</w:t>
      </w:r>
      <w:r w:rsidR="00403AC9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5</w:t>
      </w:r>
    </w:p>
    <w:p w14:paraId="3AA40B8F" w14:textId="77777777" w:rsidR="00403AC9" w:rsidRPr="00AF6772" w:rsidRDefault="00403AC9" w:rsidP="0079748E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00403AC9">
        <w:rPr>
          <w:rFonts w:ascii="Verdana" w:hAnsi="Verdana" w:cs="Verdana"/>
          <w:b/>
          <w:bCs/>
          <w:color w:val="FFFFFF"/>
          <w:sz w:val="28"/>
          <w:szCs w:val="28"/>
        </w:rPr>
        <w:t>SE DONNER LES MOYENS D’UNE GESTION ADAPTEE AUX QUARTIERS</w:t>
      </w:r>
    </w:p>
    <w:p w14:paraId="60062352" w14:textId="77777777"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B8CCE4"/>
        <w:tblLook w:val="01E0" w:firstRow="1" w:lastRow="1" w:firstColumn="1" w:lastColumn="1" w:noHBand="0" w:noVBand="0"/>
      </w:tblPr>
      <w:tblGrid>
        <w:gridCol w:w="2355"/>
        <w:gridCol w:w="8520"/>
      </w:tblGrid>
      <w:tr w:rsidR="00611755" w:rsidRPr="00243AF9" w14:paraId="0C136D28" w14:textId="77777777" w:rsidTr="1F1F9508">
        <w:trPr>
          <w:trHeight w:val="754"/>
        </w:trPr>
        <w:tc>
          <w:tcPr>
            <w:tcW w:w="2355" w:type="dxa"/>
            <w:shd w:val="clear" w:color="auto" w:fill="B8CCE4" w:themeFill="accent1" w:themeFillTint="66"/>
            <w:vAlign w:val="center"/>
          </w:tcPr>
          <w:p w14:paraId="56A49BD0" w14:textId="77777777"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AF677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2</w:t>
            </w:r>
          </w:p>
          <w:p w14:paraId="03299117" w14:textId="77777777" w:rsidR="005F0153" w:rsidRPr="00243AF9" w:rsidRDefault="00611755" w:rsidP="00BE417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AF677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1</w:t>
            </w:r>
          </w:p>
        </w:tc>
        <w:tc>
          <w:tcPr>
            <w:tcW w:w="8520" w:type="dxa"/>
            <w:shd w:val="clear" w:color="auto" w:fill="B8CCE4" w:themeFill="accent1" w:themeFillTint="66"/>
            <w:vAlign w:val="center"/>
          </w:tcPr>
          <w:p w14:paraId="1C11611B" w14:textId="77777777" w:rsidR="00611755" w:rsidRPr="00405EFC" w:rsidRDefault="00806B91" w:rsidP="00403AC9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</w:t>
            </w:r>
            <w:r w:rsidR="0048178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: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403AC9" w:rsidRPr="00403AC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Mettre en place des politiques  efficientes de gestion des quartiers prioritaires</w:t>
            </w:r>
            <w:r w:rsidR="00403AC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, e</w:t>
            </w:r>
            <w:r w:rsidR="00403AC9" w:rsidRPr="00403AC9">
              <w:rPr>
                <w:rFonts w:ascii="Verdana" w:hAnsi="Verdana" w:cs="Verdana"/>
                <w:b/>
                <w:bCs/>
                <w:iCs/>
                <w:color w:val="1F497D"/>
                <w:sz w:val="20"/>
                <w:szCs w:val="20"/>
              </w:rPr>
              <w:t>n adéquation avec les usages et favorisant  le vivre ensemble et la participation des habitants</w:t>
            </w:r>
          </w:p>
        </w:tc>
      </w:tr>
    </w:tbl>
    <w:p w14:paraId="510A4C79" w14:textId="77777777"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5"/>
        <w:gridCol w:w="8419"/>
      </w:tblGrid>
      <w:tr w:rsidR="00611755" w:rsidRPr="00F94C4F" w14:paraId="664D1BAE" w14:textId="77777777" w:rsidTr="256F095D">
        <w:trPr>
          <w:trHeight w:val="150"/>
        </w:trPr>
        <w:tc>
          <w:tcPr>
            <w:tcW w:w="2430" w:type="dxa"/>
            <w:shd w:val="clear" w:color="auto" w:fill="B8CCE4" w:themeFill="accent1" w:themeFillTint="66"/>
          </w:tcPr>
          <w:p w14:paraId="45A3AE46" w14:textId="77777777" w:rsidR="00611755" w:rsidRPr="00F94C4F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14:paraId="2DDFE8DF" w14:textId="773786D5" w:rsidR="00611755" w:rsidRPr="00F94C4F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400" w:type="dxa"/>
            <w:shd w:val="clear" w:color="auto" w:fill="B8CCE4" w:themeFill="accent1" w:themeFillTint="66"/>
          </w:tcPr>
          <w:p w14:paraId="130A2CD4" w14:textId="77777777" w:rsidR="00795C9C" w:rsidRPr="00F94C4F" w:rsidRDefault="00795C9C" w:rsidP="00795C9C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cs="Arial"/>
                <w:bCs/>
                <w:color w:val="1F497D"/>
                <w:sz w:val="20"/>
                <w:szCs w:val="20"/>
              </w:rPr>
            </w:pP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 xml:space="preserve">Une démarche Gestion urbaine de proximité existante au niveau intercommunale depuis 2010 pour accompagner le Programme de rénovation urbaine sur </w:t>
            </w:r>
            <w:r w:rsidR="006C472E" w:rsidRPr="00F94C4F">
              <w:rPr>
                <w:rFonts w:cs="Arial"/>
                <w:bCs/>
                <w:color w:val="1F497D"/>
                <w:sz w:val="20"/>
                <w:szCs w:val="20"/>
              </w:rPr>
              <w:t>l</w:t>
            </w: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es 5 quartiers du PRU</w:t>
            </w:r>
            <w:r w:rsidR="006C472E" w:rsidRPr="00F94C4F">
              <w:rPr>
                <w:rFonts w:cs="Arial"/>
                <w:bCs/>
                <w:color w:val="1F497D"/>
                <w:sz w:val="20"/>
                <w:szCs w:val="20"/>
              </w:rPr>
              <w:t>.</w:t>
            </w:r>
          </w:p>
          <w:p w14:paraId="53257F2E" w14:textId="77777777" w:rsidR="00795C9C" w:rsidRPr="00F94C4F" w:rsidRDefault="00795C9C" w:rsidP="00795C9C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cs="Arial"/>
                <w:bCs/>
                <w:color w:val="1F497D"/>
                <w:sz w:val="20"/>
                <w:szCs w:val="20"/>
              </w:rPr>
            </w:pPr>
            <w:bookmarkStart w:id="0" w:name="_Toc403735807"/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 xml:space="preserve">Une mise en œuvre progressive, </w:t>
            </w:r>
            <w:r w:rsidR="006C472E" w:rsidRPr="00F94C4F">
              <w:rPr>
                <w:rFonts w:cs="Arial"/>
                <w:bCs/>
                <w:color w:val="1F497D"/>
                <w:sz w:val="20"/>
                <w:szCs w:val="20"/>
              </w:rPr>
              <w:t xml:space="preserve">portée par Tour(s)plus, en lien avec les villes, les bailleurs et l’Etat, </w:t>
            </w: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dans une approche souple et adaptée aux territoires</w:t>
            </w:r>
            <w:bookmarkEnd w:id="0"/>
            <w:r w:rsidR="006C472E" w:rsidRPr="00F94C4F">
              <w:rPr>
                <w:rFonts w:cs="Arial"/>
                <w:bCs/>
                <w:color w:val="1F497D"/>
                <w:sz w:val="20"/>
                <w:szCs w:val="20"/>
              </w:rPr>
              <w:t>.</w:t>
            </w:r>
          </w:p>
          <w:p w14:paraId="0294E88B" w14:textId="77777777" w:rsidR="00795C9C" w:rsidRPr="00F94C4F" w:rsidRDefault="00795C9C" w:rsidP="00795C9C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cs="Arial"/>
                <w:bCs/>
                <w:color w:val="1F497D"/>
                <w:sz w:val="20"/>
                <w:szCs w:val="20"/>
              </w:rPr>
            </w:pPr>
            <w:bookmarkStart w:id="1" w:name="_Toc403735808"/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Une forte articulation avec les enjeux de médiation, de tranquillité publique et de vivre ensemble</w:t>
            </w:r>
            <w:bookmarkEnd w:id="1"/>
            <w:r w:rsidR="006C472E" w:rsidRPr="00F94C4F">
              <w:rPr>
                <w:rFonts w:cs="Arial"/>
                <w:bCs/>
                <w:color w:val="1F497D"/>
                <w:sz w:val="20"/>
                <w:szCs w:val="20"/>
              </w:rPr>
              <w:t>.</w:t>
            </w:r>
          </w:p>
          <w:p w14:paraId="0C37887B" w14:textId="77777777" w:rsidR="00795C9C" w:rsidRPr="00F94C4F" w:rsidRDefault="00795C9C" w:rsidP="00795C9C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cs="Arial"/>
                <w:bCs/>
                <w:color w:val="1F497D"/>
                <w:sz w:val="20"/>
                <w:szCs w:val="20"/>
              </w:rPr>
            </w:pP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Des quartiers globalement bien entretenus et un souci de la qualité des espaces extérieurs</w:t>
            </w:r>
          </w:p>
          <w:p w14:paraId="1C920C98" w14:textId="77777777" w:rsidR="00795C9C" w:rsidRPr="00F94C4F" w:rsidRDefault="00795C9C" w:rsidP="00795C9C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cs="Arial"/>
                <w:bCs/>
                <w:color w:val="1F497D"/>
                <w:sz w:val="20"/>
                <w:szCs w:val="20"/>
              </w:rPr>
            </w:pP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Problématiques récurrentes : PAVE, signalétique, accompagnement des opérations d’aménagement… Au-delà de l’entretien, la question de l’appropriation des espaces publics est jugée centrale et les actions dans ce domaine doivent être poursuivies et renforcées.</w:t>
            </w:r>
          </w:p>
        </w:tc>
      </w:tr>
      <w:tr w:rsidR="00611755" w:rsidRPr="00F94C4F" w14:paraId="3C158322" w14:textId="77777777" w:rsidTr="256F095D">
        <w:trPr>
          <w:trHeight w:val="142"/>
        </w:trPr>
        <w:tc>
          <w:tcPr>
            <w:tcW w:w="2430" w:type="dxa"/>
            <w:shd w:val="clear" w:color="auto" w:fill="B8CCE4" w:themeFill="accent1" w:themeFillTint="66"/>
          </w:tcPr>
          <w:p w14:paraId="2D5707D5" w14:textId="77777777" w:rsidR="00611755" w:rsidRPr="00F94C4F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Objectifs et dynamiques</w:t>
            </w:r>
          </w:p>
          <w:p w14:paraId="049A2896" w14:textId="6B115337" w:rsidR="00611755" w:rsidRPr="00F94C4F" w:rsidRDefault="00611755" w:rsidP="008D57C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</w:p>
        </w:tc>
        <w:tc>
          <w:tcPr>
            <w:tcW w:w="8400" w:type="dxa"/>
            <w:shd w:val="clear" w:color="auto" w:fill="B8CCE4" w:themeFill="accent1" w:themeFillTint="66"/>
          </w:tcPr>
          <w:p w14:paraId="6C2E05F4" w14:textId="77777777" w:rsidR="00795C9C" w:rsidRPr="00F94C4F" w:rsidRDefault="00795C9C" w:rsidP="00795C9C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cs="Arial"/>
                <w:bCs/>
                <w:color w:val="1F497D"/>
                <w:sz w:val="20"/>
                <w:szCs w:val="20"/>
              </w:rPr>
            </w:pP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 xml:space="preserve">Pérenniser les démarches de GUP  et </w:t>
            </w:r>
            <w:r w:rsidR="006C472E" w:rsidRPr="00F94C4F">
              <w:rPr>
                <w:rFonts w:cs="Arial"/>
                <w:bCs/>
                <w:color w:val="1F497D"/>
                <w:sz w:val="20"/>
                <w:szCs w:val="20"/>
              </w:rPr>
              <w:t>e</w:t>
            </w: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ssaimer les outils développés dans  ce cadre.</w:t>
            </w:r>
          </w:p>
          <w:p w14:paraId="31C1536E" w14:textId="77777777" w:rsidR="00E135B6" w:rsidRPr="00F94C4F" w:rsidRDefault="0043135C" w:rsidP="00795C9C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cs="Arial"/>
                <w:bCs/>
                <w:color w:val="1F497D"/>
                <w:sz w:val="20"/>
                <w:szCs w:val="20"/>
              </w:rPr>
            </w:pP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Systématis</w:t>
            </w:r>
            <w:r w:rsidR="00795C9C" w:rsidRPr="00F94C4F">
              <w:rPr>
                <w:rFonts w:cs="Arial"/>
                <w:bCs/>
                <w:color w:val="1F497D"/>
                <w:sz w:val="20"/>
                <w:szCs w:val="20"/>
              </w:rPr>
              <w:t>er l</w:t>
            </w: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es approches de prévention situationnelle, en amont des opérations d’aménagement.</w:t>
            </w:r>
          </w:p>
          <w:p w14:paraId="41AF1673" w14:textId="5FEE891E" w:rsidR="00795C9C" w:rsidRPr="00F94C4F" w:rsidRDefault="0043135C" w:rsidP="00795C9C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cs="Arial"/>
                <w:i/>
                <w:color w:val="1F497D"/>
                <w:sz w:val="20"/>
                <w:szCs w:val="20"/>
              </w:rPr>
            </w:pP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Renforce</w:t>
            </w:r>
            <w:r w:rsidR="00795C9C" w:rsidRPr="00F94C4F">
              <w:rPr>
                <w:rFonts w:cs="Arial"/>
                <w:bCs/>
                <w:color w:val="1F497D"/>
                <w:sz w:val="20"/>
                <w:szCs w:val="20"/>
              </w:rPr>
              <w:t>r</w:t>
            </w: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 xml:space="preserve"> la présence humaine et la médiation sur l’espace public.</w:t>
            </w:r>
          </w:p>
          <w:p w14:paraId="130A376C" w14:textId="77777777" w:rsidR="00014D5F" w:rsidRPr="00F94C4F" w:rsidRDefault="00014D5F" w:rsidP="00795C9C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cs="Arial"/>
                <w:i/>
                <w:color w:val="1F497D"/>
                <w:sz w:val="20"/>
                <w:szCs w:val="20"/>
              </w:rPr>
            </w:pP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 xml:space="preserve">Développer une veille territoriale qui vient </w:t>
            </w:r>
            <w:proofErr w:type="gramStart"/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alimenter</w:t>
            </w:r>
            <w:proofErr w:type="gramEnd"/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 xml:space="preserve"> le projet urbain</w:t>
            </w:r>
          </w:p>
        </w:tc>
      </w:tr>
      <w:tr w:rsidR="00611755" w:rsidRPr="00F94C4F" w14:paraId="18A51564" w14:textId="77777777" w:rsidTr="256F095D">
        <w:trPr>
          <w:trHeight w:val="170"/>
        </w:trPr>
        <w:tc>
          <w:tcPr>
            <w:tcW w:w="2430" w:type="dxa"/>
            <w:shd w:val="clear" w:color="auto" w:fill="B8CCE4" w:themeFill="accent1" w:themeFillTint="66"/>
          </w:tcPr>
          <w:p w14:paraId="6C8417AD" w14:textId="77777777" w:rsidR="005F0153" w:rsidRPr="00F94C4F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Réalisations attendues </w:t>
            </w:r>
          </w:p>
          <w:p w14:paraId="475F353D" w14:textId="22D20A6F" w:rsidR="00611755" w:rsidRPr="00F94C4F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400" w:type="dxa"/>
            <w:shd w:val="clear" w:color="auto" w:fill="B8CCE4" w:themeFill="accent1" w:themeFillTint="66"/>
          </w:tcPr>
          <w:p w14:paraId="7E6DEAB9" w14:textId="5A6568DD" w:rsidR="00795C9C" w:rsidRPr="00F94C4F" w:rsidRDefault="00795C9C" w:rsidP="00085080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cs="Arial"/>
                <w:bCs/>
                <w:color w:val="1F497D"/>
                <w:sz w:val="20"/>
                <w:szCs w:val="20"/>
              </w:rPr>
            </w:pP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 xml:space="preserve">Poursuivre la démarche de GUP sur les  quartiers du PRU1 pour pérenniser les acquis, </w:t>
            </w:r>
          </w:p>
          <w:p w14:paraId="22626549" w14:textId="57451383" w:rsidR="00795C9C" w:rsidRPr="00F94C4F" w:rsidRDefault="00795C9C" w:rsidP="00085080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cs="Arial"/>
                <w:bCs/>
                <w:color w:val="1F497D"/>
                <w:sz w:val="20"/>
                <w:szCs w:val="20"/>
              </w:rPr>
            </w:pP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 xml:space="preserve">La poursuivre ou la mettre en place sur les quartiers qui bénéficient du NPRU (Sanitas, Maryse Bastié, Rabière, Rabaterie) et </w:t>
            </w:r>
            <w:r w:rsidR="006C472E" w:rsidRPr="00F94C4F">
              <w:rPr>
                <w:rFonts w:cs="Arial"/>
                <w:bCs/>
                <w:color w:val="1F497D"/>
                <w:sz w:val="20"/>
                <w:szCs w:val="20"/>
              </w:rPr>
              <w:t xml:space="preserve">la </w:t>
            </w: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 xml:space="preserve">développer sur les sites volontaires (La Riche dans un premier temps) </w:t>
            </w:r>
          </w:p>
          <w:p w14:paraId="1C71A706" w14:textId="77777777" w:rsidR="00795C9C" w:rsidRPr="00F94C4F" w:rsidRDefault="00795C9C" w:rsidP="00014D5F">
            <w:pPr>
              <w:pStyle w:val="TableContents"/>
              <w:numPr>
                <w:ilvl w:val="0"/>
                <w:numId w:val="9"/>
              </w:numPr>
              <w:autoSpaceDN w:val="0"/>
              <w:spacing w:before="120" w:after="120"/>
              <w:jc w:val="both"/>
              <w:rPr>
                <w:rFonts w:ascii="Verdana" w:eastAsia="Times New Roman" w:hAnsi="Verdana" w:cs="Arial"/>
                <w:bCs/>
                <w:color w:val="1F497D"/>
                <w:kern w:val="0"/>
                <w:sz w:val="20"/>
                <w:szCs w:val="20"/>
                <w:lang w:eastAsia="fr-FR" w:bidi="ar-SA"/>
              </w:rPr>
            </w:pPr>
            <w:r w:rsidRPr="00F94C4F">
              <w:rPr>
                <w:rFonts w:ascii="Verdana" w:eastAsia="Times New Roman" w:hAnsi="Verdana" w:cs="Arial"/>
                <w:bCs/>
                <w:color w:val="1F497D"/>
                <w:kern w:val="0"/>
                <w:sz w:val="20"/>
                <w:szCs w:val="20"/>
                <w:lang w:eastAsia="fr-FR" w:bidi="ar-SA"/>
              </w:rPr>
              <w:t>Mettre en place, à travers une convention spécifique, les modes de travail qui permettent l’intégration des usages</w:t>
            </w:r>
            <w:r w:rsidR="006C472E" w:rsidRPr="00F94C4F">
              <w:rPr>
                <w:rFonts w:ascii="Verdana" w:eastAsia="Times New Roman" w:hAnsi="Verdana" w:cs="Arial"/>
                <w:bCs/>
                <w:color w:val="1F497D"/>
                <w:kern w:val="0"/>
                <w:sz w:val="20"/>
                <w:szCs w:val="20"/>
                <w:lang w:eastAsia="fr-FR" w:bidi="ar-SA"/>
              </w:rPr>
              <w:t xml:space="preserve"> et</w:t>
            </w:r>
            <w:r w:rsidRPr="00F94C4F">
              <w:rPr>
                <w:rFonts w:ascii="Verdana" w:eastAsia="Times New Roman" w:hAnsi="Verdana" w:cs="Arial"/>
                <w:bCs/>
                <w:color w:val="1F497D"/>
                <w:kern w:val="0"/>
                <w:sz w:val="20"/>
                <w:szCs w:val="20"/>
                <w:lang w:eastAsia="fr-FR" w:bidi="ar-SA"/>
              </w:rPr>
              <w:t xml:space="preserve"> des contraintes de gestion dans les projets.</w:t>
            </w:r>
          </w:p>
          <w:p w14:paraId="19AD754A" w14:textId="77777777" w:rsidR="00014D5F" w:rsidRPr="00F94C4F" w:rsidRDefault="00014D5F" w:rsidP="00014D5F">
            <w:pPr>
              <w:pStyle w:val="Paragraphedeliste"/>
              <w:numPr>
                <w:ilvl w:val="0"/>
                <w:numId w:val="9"/>
              </w:numPr>
              <w:shd w:val="clear" w:color="auto" w:fill="B8CCE4" w:themeFill="accent1" w:themeFillTint="66"/>
              <w:rPr>
                <w:rFonts w:cs="Arial"/>
                <w:bCs/>
                <w:color w:val="1F497D"/>
                <w:sz w:val="20"/>
                <w:szCs w:val="20"/>
              </w:rPr>
            </w:pP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Mettre en place des temps partagés d’observation physique du territoire et de sa vie quotidienne.</w:t>
            </w:r>
          </w:p>
          <w:p w14:paraId="30FC348F" w14:textId="77777777" w:rsidR="00611755" w:rsidRPr="00F94C4F" w:rsidRDefault="006C472E" w:rsidP="00014D5F">
            <w:pPr>
              <w:pStyle w:val="TableContents"/>
              <w:numPr>
                <w:ilvl w:val="0"/>
                <w:numId w:val="9"/>
              </w:numPr>
              <w:autoSpaceDN w:val="0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eastAsia="Times New Roman" w:hAnsi="Verdana" w:cs="Arial"/>
                <w:bCs/>
                <w:color w:val="1F497D"/>
                <w:kern w:val="0"/>
                <w:sz w:val="20"/>
                <w:szCs w:val="20"/>
                <w:lang w:eastAsia="fr-FR" w:bidi="ar-SA"/>
              </w:rPr>
              <w:t xml:space="preserve">Valoriser </w:t>
            </w:r>
            <w:r w:rsidR="00795C9C" w:rsidRPr="00F94C4F">
              <w:rPr>
                <w:rFonts w:ascii="Verdana" w:eastAsia="Times New Roman" w:hAnsi="Verdana" w:cs="Arial"/>
                <w:bCs/>
                <w:color w:val="1F497D"/>
                <w:kern w:val="0"/>
                <w:sz w:val="20"/>
                <w:szCs w:val="20"/>
                <w:lang w:eastAsia="fr-FR" w:bidi="ar-SA"/>
              </w:rPr>
              <w:t>le rôle des agents de proximité, comme chevilles ouvrière de cette adaptation de la gestion.</w:t>
            </w:r>
          </w:p>
          <w:p w14:paraId="4C0F12FE" w14:textId="77C8E2B7" w:rsidR="006C472E" w:rsidRPr="00F94C4F" w:rsidRDefault="77C8E2B7" w:rsidP="77C8E2B7">
            <w:pPr>
              <w:pStyle w:val="TableContents"/>
              <w:numPr>
                <w:ilvl w:val="0"/>
                <w:numId w:val="9"/>
              </w:numPr>
              <w:autoSpaceDN w:val="0"/>
              <w:spacing w:before="120" w:after="120"/>
              <w:jc w:val="both"/>
              <w:rPr>
                <w:rFonts w:ascii="Verdana" w:eastAsia="Verdana,Arial" w:hAnsi="Verdana" w:cs="Verdana,Arial"/>
                <w:color w:val="1F497D"/>
                <w:sz w:val="20"/>
                <w:szCs w:val="20"/>
              </w:rPr>
            </w:pPr>
            <w:r w:rsidRPr="00F94C4F">
              <w:rPr>
                <w:rFonts w:ascii="Verdana" w:eastAsia="Verdana,Arial" w:hAnsi="Verdana" w:cs="Verdana,Arial"/>
                <w:color w:val="1F497D" w:themeColor="text2"/>
                <w:sz w:val="20"/>
                <w:szCs w:val="20"/>
              </w:rPr>
              <w:t>Mettre en place des actions permettant une plus grande appréhension par l’habitant de son environnement social et physique, facteur de respect de ce cadre de vie.</w:t>
            </w:r>
          </w:p>
          <w:p w14:paraId="72908199" w14:textId="42A81EFF" w:rsidR="006C472E" w:rsidRPr="00F94C4F" w:rsidRDefault="77C8E2B7" w:rsidP="00085080">
            <w:pPr>
              <w:pStyle w:val="Paragraphedeliste"/>
              <w:numPr>
                <w:ilvl w:val="0"/>
                <w:numId w:val="8"/>
              </w:numPr>
              <w:shd w:val="clear" w:color="auto" w:fill="B8CCE4" w:themeFill="accent1" w:themeFillTint="66"/>
              <w:rPr>
                <w:rFonts w:eastAsia="Verdana,Arial" w:cs="Verdana,Arial"/>
                <w:color w:val="1F497D"/>
                <w:sz w:val="20"/>
                <w:szCs w:val="20"/>
              </w:rPr>
            </w:pPr>
            <w:r w:rsidRPr="00F94C4F">
              <w:rPr>
                <w:rFonts w:cs="Arial"/>
                <w:bCs/>
                <w:color w:val="1F497D"/>
                <w:sz w:val="20"/>
                <w:szCs w:val="20"/>
              </w:rPr>
              <w:t>Mettre en place des Maisons de projets sur les quartiers bénéficiant du NPRU</w:t>
            </w:r>
          </w:p>
        </w:tc>
      </w:tr>
      <w:tr w:rsidR="00611755" w:rsidRPr="00F94C4F" w14:paraId="6A20EA91" w14:textId="77777777" w:rsidTr="256F095D">
        <w:tc>
          <w:tcPr>
            <w:tcW w:w="2430" w:type="dxa"/>
            <w:shd w:val="clear" w:color="auto" w:fill="B8CCE4" w:themeFill="accent1" w:themeFillTint="66"/>
          </w:tcPr>
          <w:p w14:paraId="73CC6968" w14:textId="10B923B9" w:rsidR="00611755" w:rsidRPr="00F94C4F" w:rsidRDefault="00085080" w:rsidP="00085080">
            <w:pPr>
              <w:pStyle w:val="TableContents"/>
              <w:spacing w:before="120" w:after="120"/>
              <w:ind w:left="71" w:right="-10"/>
              <w:rPr>
                <w:rFonts w:ascii="Verdana" w:hAnsi="Verdana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Effets attendus</w:t>
            </w:r>
          </w:p>
        </w:tc>
        <w:tc>
          <w:tcPr>
            <w:tcW w:w="8400" w:type="dxa"/>
            <w:shd w:val="clear" w:color="auto" w:fill="B8CCE4" w:themeFill="accent1" w:themeFillTint="66"/>
          </w:tcPr>
          <w:p w14:paraId="48827F06" w14:textId="77777777" w:rsidR="00611755" w:rsidRPr="00F94C4F" w:rsidRDefault="00795C9C" w:rsidP="00795C9C">
            <w:pPr>
              <w:pStyle w:val="TableContents"/>
              <w:numPr>
                <w:ilvl w:val="0"/>
                <w:numId w:val="9"/>
              </w:numPr>
              <w:autoSpaceDN w:val="0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eastAsia="Times New Roman" w:hAnsi="Verdana" w:cs="Arial"/>
                <w:bCs/>
                <w:color w:val="1F497D"/>
                <w:kern w:val="0"/>
                <w:sz w:val="20"/>
                <w:szCs w:val="20"/>
                <w:lang w:eastAsia="fr-FR" w:bidi="ar-SA"/>
              </w:rPr>
              <w:t>Faciliter l’appropriation par les habitants et les gestionnaires de l’évolution de leur environnement quotidien</w:t>
            </w:r>
          </w:p>
          <w:p w14:paraId="2A4A0C50" w14:textId="77777777" w:rsidR="006C472E" w:rsidRPr="00F94C4F" w:rsidRDefault="006C472E" w:rsidP="00795C9C">
            <w:pPr>
              <w:pStyle w:val="TableContents"/>
              <w:numPr>
                <w:ilvl w:val="0"/>
                <w:numId w:val="9"/>
              </w:numPr>
              <w:autoSpaceDN w:val="0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eastAsia="Times New Roman" w:hAnsi="Verdana" w:cs="Arial"/>
                <w:bCs/>
                <w:color w:val="1F497D"/>
                <w:kern w:val="0"/>
                <w:sz w:val="20"/>
                <w:szCs w:val="20"/>
                <w:lang w:eastAsia="fr-FR" w:bidi="ar-SA"/>
              </w:rPr>
              <w:t>Pérenniser les investissements</w:t>
            </w:r>
          </w:p>
        </w:tc>
      </w:tr>
      <w:tr w:rsidR="00611755" w:rsidRPr="00F94C4F" w14:paraId="37FF8921" w14:textId="77777777" w:rsidTr="256F095D">
        <w:tc>
          <w:tcPr>
            <w:tcW w:w="2430" w:type="dxa"/>
            <w:shd w:val="clear" w:color="auto" w:fill="B8CCE4" w:themeFill="accent1" w:themeFillTint="66"/>
          </w:tcPr>
          <w:p w14:paraId="651BE3D9" w14:textId="412BD442" w:rsidR="00611755" w:rsidRPr="00F94C4F" w:rsidRDefault="00611755" w:rsidP="00085080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Echelle Territoriale</w:t>
            </w:r>
          </w:p>
        </w:tc>
        <w:tc>
          <w:tcPr>
            <w:tcW w:w="8400" w:type="dxa"/>
            <w:shd w:val="clear" w:color="auto" w:fill="B8CCE4" w:themeFill="accent1" w:themeFillTint="66"/>
          </w:tcPr>
          <w:p w14:paraId="3D2058B6" w14:textId="77777777" w:rsidR="00611755" w:rsidRPr="00F94C4F" w:rsidRDefault="006C472E" w:rsidP="00611755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A l’échelle de chaque quartier</w:t>
            </w:r>
          </w:p>
        </w:tc>
      </w:tr>
      <w:tr w:rsidR="00611755" w:rsidRPr="00F94C4F" w14:paraId="46301DFE" w14:textId="77777777" w:rsidTr="256F095D">
        <w:tc>
          <w:tcPr>
            <w:tcW w:w="2430" w:type="dxa"/>
            <w:shd w:val="clear" w:color="auto" w:fill="B8CCE4" w:themeFill="accent1" w:themeFillTint="66"/>
          </w:tcPr>
          <w:p w14:paraId="45D91221" w14:textId="6C90DE40" w:rsidR="00611755" w:rsidRPr="00F94C4F" w:rsidRDefault="00D87FB9" w:rsidP="00085080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8400" w:type="dxa"/>
            <w:shd w:val="clear" w:color="auto" w:fill="B8CCE4" w:themeFill="accent1" w:themeFillTint="66"/>
          </w:tcPr>
          <w:p w14:paraId="06C7E9DD" w14:textId="77777777" w:rsidR="00611755" w:rsidRPr="00F94C4F" w:rsidRDefault="006C472E" w:rsidP="0061175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Tour(s)plus en lien étroit avec les villes, les bailleurs et l’Etat</w:t>
            </w:r>
          </w:p>
        </w:tc>
      </w:tr>
      <w:tr w:rsidR="00611755" w:rsidRPr="00F94C4F" w14:paraId="3F309976" w14:textId="77777777" w:rsidTr="256F095D">
        <w:trPr>
          <w:trHeight w:val="95"/>
        </w:trPr>
        <w:tc>
          <w:tcPr>
            <w:tcW w:w="2430" w:type="dxa"/>
            <w:shd w:val="clear" w:color="auto" w:fill="B8CCE4" w:themeFill="accent1" w:themeFillTint="66"/>
          </w:tcPr>
          <w:p w14:paraId="411A96F2" w14:textId="77777777" w:rsidR="00611755" w:rsidRPr="00F94C4F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Partenaires mobilisables (dont habitants)</w:t>
            </w:r>
          </w:p>
          <w:p w14:paraId="18617177" w14:textId="77777777" w:rsidR="00611755" w:rsidRPr="00F94C4F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14:paraId="0F593089" w14:textId="0FC69F0D" w:rsidR="00611755" w:rsidRPr="00F94C4F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400" w:type="dxa"/>
            <w:shd w:val="clear" w:color="auto" w:fill="B8CCE4" w:themeFill="accent1" w:themeFillTint="66"/>
          </w:tcPr>
          <w:p w14:paraId="113FBEF1" w14:textId="77777777" w:rsidR="006C472E" w:rsidRPr="00F94C4F" w:rsidRDefault="006C472E" w:rsidP="006C472E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  <w:t>Les partenaires</w:t>
            </w: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 : centres sociaux, médiateurs de rue, éducateurs spécialisés (Conseil Départemental), adultes relais (Etat), correspondants de quartiers (Bailleurs), CAF, Conseil Départemental, régies de quartier, associations d’éducation à l’environnement, écoles…</w:t>
            </w:r>
          </w:p>
          <w:p w14:paraId="7A3C7312" w14:textId="77777777" w:rsidR="006C472E" w:rsidRPr="00F94C4F" w:rsidRDefault="006C472E" w:rsidP="006C472E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  <w:p w14:paraId="1FC43413" w14:textId="77777777" w:rsidR="006C472E" w:rsidRPr="00F94C4F" w:rsidRDefault="006C472E" w:rsidP="006C472E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  <w:t>Dispositifs mobilisables</w:t>
            </w:r>
          </w:p>
          <w:p w14:paraId="2564C375" w14:textId="77777777" w:rsidR="006C472E" w:rsidRPr="00F94C4F" w:rsidRDefault="006C472E" w:rsidP="006C472E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Convention Gestion urbaine de proximité</w:t>
            </w:r>
          </w:p>
          <w:p w14:paraId="76A4663F" w14:textId="77777777" w:rsidR="006C472E" w:rsidRPr="00F94C4F" w:rsidRDefault="006C472E" w:rsidP="006C472E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Charte locale d’abattement TFPB</w:t>
            </w:r>
          </w:p>
          <w:p w14:paraId="34C8C582" w14:textId="77777777" w:rsidR="006C472E" w:rsidRPr="00F94C4F" w:rsidRDefault="006C472E" w:rsidP="006C472E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</w:tc>
      </w:tr>
      <w:tr w:rsidR="00611755" w:rsidRPr="00F94C4F" w14:paraId="08E2B821" w14:textId="77777777" w:rsidTr="256F095D">
        <w:tc>
          <w:tcPr>
            <w:tcW w:w="2430" w:type="dxa"/>
            <w:shd w:val="clear" w:color="auto" w:fill="B8CCE4" w:themeFill="accent1" w:themeFillTint="66"/>
          </w:tcPr>
          <w:p w14:paraId="1E570CDF" w14:textId="77777777" w:rsidR="00611755" w:rsidRPr="00F94C4F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14:paraId="790935BB" w14:textId="1726A423" w:rsidR="00611755" w:rsidRPr="00F94C4F" w:rsidRDefault="00611755" w:rsidP="00085080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400" w:type="dxa"/>
            <w:shd w:val="clear" w:color="auto" w:fill="B8CCE4" w:themeFill="accent1" w:themeFillTint="66"/>
          </w:tcPr>
          <w:p w14:paraId="3DFF866C" w14:textId="77777777" w:rsidR="006C472E" w:rsidRPr="00F94C4F" w:rsidRDefault="006C472E" w:rsidP="006C472E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Financements spécifiques politique de la ville (ANRU,…)</w:t>
            </w:r>
          </w:p>
          <w:p w14:paraId="16A57969" w14:textId="77777777" w:rsidR="006C472E" w:rsidRPr="00F94C4F" w:rsidRDefault="006C472E" w:rsidP="006C472E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Financement de droit commun : ville, bailleur, Tour(s)plus</w:t>
            </w:r>
          </w:p>
          <w:p w14:paraId="54B22BDD" w14:textId="77777777" w:rsidR="006C472E" w:rsidRPr="00F94C4F" w:rsidRDefault="006C472E" w:rsidP="006C472E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Abattement TFPB</w:t>
            </w:r>
          </w:p>
          <w:p w14:paraId="49DB74A8" w14:textId="07BFE5B5" w:rsidR="00611755" w:rsidRPr="00F94C4F" w:rsidRDefault="006C472E" w:rsidP="00085080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Fondation privée</w:t>
            </w:r>
          </w:p>
        </w:tc>
      </w:tr>
      <w:tr w:rsidR="00611755" w:rsidRPr="00F94C4F" w14:paraId="2BF638FC" w14:textId="77777777" w:rsidTr="256F095D">
        <w:trPr>
          <w:trHeight w:val="272"/>
        </w:trPr>
        <w:tc>
          <w:tcPr>
            <w:tcW w:w="2430" w:type="dxa"/>
            <w:shd w:val="clear" w:color="auto" w:fill="B8CCE4" w:themeFill="accent1" w:themeFillTint="66"/>
          </w:tcPr>
          <w:p w14:paraId="2079AB3A" w14:textId="5E1B008C" w:rsidR="00611755" w:rsidRPr="00F94C4F" w:rsidRDefault="00611755" w:rsidP="00085080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8400" w:type="dxa"/>
            <w:shd w:val="clear" w:color="auto" w:fill="B8CCE4" w:themeFill="accent1" w:themeFillTint="66"/>
          </w:tcPr>
          <w:p w14:paraId="6904949C" w14:textId="77777777" w:rsidR="00611755" w:rsidRPr="00F94C4F" w:rsidRDefault="006E54B5" w:rsidP="0061175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Au fil de l’eau</w:t>
            </w:r>
          </w:p>
        </w:tc>
      </w:tr>
      <w:tr w:rsidR="005F0153" w:rsidRPr="00F94C4F" w14:paraId="4E4F0562" w14:textId="77777777" w:rsidTr="256F095D">
        <w:tc>
          <w:tcPr>
            <w:tcW w:w="2430" w:type="dxa"/>
            <w:shd w:val="clear" w:color="auto" w:fill="B8CCE4" w:themeFill="accent1" w:themeFillTint="66"/>
          </w:tcPr>
          <w:p w14:paraId="279EC282" w14:textId="77777777" w:rsidR="005F0153" w:rsidRPr="00F94C4F" w:rsidRDefault="005F0153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  <w:p w14:paraId="43B50974" w14:textId="3347BE41" w:rsidR="005F0153" w:rsidRPr="00F94C4F" w:rsidRDefault="005F0153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400" w:type="dxa"/>
            <w:shd w:val="clear" w:color="auto" w:fill="B8CCE4" w:themeFill="accent1" w:themeFillTint="66"/>
          </w:tcPr>
          <w:p w14:paraId="72480047" w14:textId="77777777" w:rsidR="005F0153" w:rsidRPr="00F94C4F" w:rsidRDefault="006E54B5" w:rsidP="00611755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Elaboration de la convention GUP</w:t>
            </w:r>
          </w:p>
          <w:p w14:paraId="0415FA01" w14:textId="77777777" w:rsidR="006E54B5" w:rsidRPr="00F94C4F" w:rsidRDefault="006E54B5" w:rsidP="00611755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 xml:space="preserve">Nombre d’actions réalisées, par quartier, </w:t>
            </w:r>
          </w:p>
          <w:p w14:paraId="590FFF18" w14:textId="77777777" w:rsidR="006E54B5" w:rsidRPr="00F94C4F" w:rsidRDefault="006E54B5" w:rsidP="006E54B5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Nombre d’outils développés et utilisés (tableau de bord, agora…)</w:t>
            </w:r>
          </w:p>
        </w:tc>
      </w:tr>
      <w:tr w:rsidR="00D87FB9" w:rsidRPr="00F94C4F" w14:paraId="0C8F994F" w14:textId="77777777" w:rsidTr="256F095D">
        <w:tc>
          <w:tcPr>
            <w:tcW w:w="2430" w:type="dxa"/>
            <w:shd w:val="clear" w:color="auto" w:fill="B8CCE4" w:themeFill="accent1" w:themeFillTint="66"/>
          </w:tcPr>
          <w:p w14:paraId="4779CFDF" w14:textId="77777777" w:rsidR="00D87FB9" w:rsidRPr="00F94C4F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  <w:p w14:paraId="25FDE7F6" w14:textId="6205C7DB" w:rsidR="00D87FB9" w:rsidRPr="00F94C4F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400" w:type="dxa"/>
            <w:shd w:val="clear" w:color="auto" w:fill="B8CCE4" w:themeFill="accent1" w:themeFillTint="66"/>
          </w:tcPr>
          <w:p w14:paraId="0F7BEC89" w14:textId="77777777" w:rsidR="006E54B5" w:rsidRPr="00F94C4F" w:rsidRDefault="006E54B5" w:rsidP="006E54B5">
            <w:pPr>
              <w:pStyle w:val="TableContents"/>
              <w:numPr>
                <w:ilvl w:val="0"/>
                <w:numId w:val="9"/>
              </w:numPr>
              <w:autoSpaceDN w:val="0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eastAsia="Times New Roman" w:hAnsi="Verdana" w:cs="Arial"/>
                <w:bCs/>
                <w:color w:val="1F497D"/>
                <w:kern w:val="0"/>
                <w:sz w:val="20"/>
                <w:szCs w:val="20"/>
                <w:lang w:eastAsia="fr-FR" w:bidi="ar-SA"/>
              </w:rPr>
              <w:t>/Faciliter l’appropriation par les habitants et les gestionnaires de l’évolution de leur environnement quotidien : nombre de dégradations, nombre d’arrêts des agents de proximité, nombre de réunion ayant associées les agents de proximité</w:t>
            </w:r>
          </w:p>
          <w:p w14:paraId="7BD60451" w14:textId="77777777" w:rsidR="00D87FB9" w:rsidRPr="00F94C4F" w:rsidRDefault="006E54B5" w:rsidP="006E54B5">
            <w:pPr>
              <w:pStyle w:val="TableContents"/>
              <w:numPr>
                <w:ilvl w:val="0"/>
                <w:numId w:val="9"/>
              </w:numPr>
              <w:autoSpaceDN w:val="0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F94C4F">
              <w:rPr>
                <w:rFonts w:ascii="Verdana" w:eastAsia="Times New Roman" w:hAnsi="Verdana" w:cs="Arial"/>
                <w:bCs/>
                <w:color w:val="1F497D"/>
                <w:kern w:val="0"/>
                <w:sz w:val="20"/>
                <w:szCs w:val="20"/>
                <w:lang w:eastAsia="fr-FR" w:bidi="ar-SA"/>
              </w:rPr>
              <w:t xml:space="preserve">/Pérenniser les investissements : nombre de fois où la garantie a été utilisée, </w:t>
            </w:r>
          </w:p>
        </w:tc>
      </w:tr>
      <w:tr w:rsidR="00611755" w:rsidRPr="00F94C4F" w14:paraId="0C424D8F" w14:textId="77777777" w:rsidTr="256F095D">
        <w:tc>
          <w:tcPr>
            <w:tcW w:w="2430" w:type="dxa"/>
            <w:shd w:val="clear" w:color="auto" w:fill="B8CCE4" w:themeFill="accent1" w:themeFillTint="66"/>
          </w:tcPr>
          <w:p w14:paraId="59747BED" w14:textId="77777777" w:rsidR="00611755" w:rsidRPr="00F94C4F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8400" w:type="dxa"/>
            <w:shd w:val="clear" w:color="auto" w:fill="B8CCE4" w:themeFill="accent1" w:themeFillTint="66"/>
          </w:tcPr>
          <w:p w14:paraId="2B6980BB" w14:textId="77777777" w:rsidR="006E54B5" w:rsidRPr="00F94C4F" w:rsidRDefault="006E54B5" w:rsidP="006E54B5">
            <w:pPr>
              <w:spacing w:before="120" w:after="120"/>
              <w:jc w:val="both"/>
              <w:rPr>
                <w:rFonts w:ascii="Verdana" w:hAnsi="Verdana" w:cs="Arial"/>
                <w:b/>
                <w:bCs/>
                <w:color w:val="1F497D"/>
                <w:sz w:val="20"/>
                <w:szCs w:val="20"/>
              </w:rPr>
            </w:pPr>
            <w:r w:rsidRPr="00F94C4F">
              <w:rPr>
                <w:rFonts w:ascii="Verdana" w:hAnsi="Verdana" w:cs="Arial"/>
                <w:color w:val="1F497D"/>
                <w:sz w:val="20"/>
                <w:szCs w:val="20"/>
              </w:rPr>
              <w:t>2.1.6</w:t>
            </w:r>
            <w:r w:rsidRPr="00F94C4F">
              <w:rPr>
                <w:rFonts w:ascii="Verdana" w:hAnsi="Verdana" w:cs="Verdana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F94C4F">
              <w:rPr>
                <w:rFonts w:ascii="Verdana" w:hAnsi="Verdana" w:cs="Arial"/>
                <w:bCs/>
                <w:color w:val="1F497D"/>
                <w:sz w:val="20"/>
                <w:szCs w:val="20"/>
              </w:rPr>
              <w:t xml:space="preserve">FAVORISER L’IMPLICATION DES HABITANTS  DANS L’AMELIORATION DE LEUR CADRE </w:t>
            </w:r>
            <w:bookmarkStart w:id="2" w:name="_GoBack"/>
            <w:bookmarkEnd w:id="2"/>
            <w:r w:rsidRPr="00F94C4F">
              <w:rPr>
                <w:rFonts w:ascii="Verdana" w:hAnsi="Verdana" w:cs="Arial"/>
                <w:bCs/>
                <w:color w:val="1F497D"/>
                <w:sz w:val="20"/>
                <w:szCs w:val="20"/>
              </w:rPr>
              <w:t>DE VIE ET LE « MIEUX VIVRE ENSEMBLE »</w:t>
            </w:r>
          </w:p>
          <w:p w14:paraId="2EFDC3C6" w14:textId="77777777" w:rsidR="00611755" w:rsidRPr="00F94C4F" w:rsidRDefault="00611755" w:rsidP="00611755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</w:tc>
      </w:tr>
    </w:tbl>
    <w:p w14:paraId="130934C0" w14:textId="77777777" w:rsidR="008D0202" w:rsidRDefault="008D0202">
      <w:pPr>
        <w:widowControl/>
        <w:suppressAutoHyphens w:val="0"/>
        <w:textAlignment w:val="auto"/>
        <w:rPr>
          <w:rFonts w:ascii="Verdana" w:hAnsi="Verdana" w:cs="Verdana"/>
          <w:b/>
          <w:bCs/>
          <w:color w:val="FFFFFF"/>
          <w:sz w:val="28"/>
          <w:szCs w:val="28"/>
        </w:rPr>
      </w:pPr>
    </w:p>
    <w:sectPr w:rsidR="008D0202" w:rsidSect="00A433C2">
      <w:footerReference w:type="default" r:id="rId11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4D27426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8007C" w14:textId="77777777" w:rsidR="0082148C" w:rsidRDefault="0082148C" w:rsidP="00A03715">
      <w:pPr>
        <w:pStyle w:val="TableContents"/>
      </w:pPr>
      <w:r>
        <w:separator/>
      </w:r>
    </w:p>
  </w:endnote>
  <w:endnote w:type="continuationSeparator" w:id="0">
    <w:p w14:paraId="4D2BBE24" w14:textId="77777777" w:rsidR="0082148C" w:rsidRDefault="0082148C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Arial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1E815" w14:textId="77777777" w:rsidR="00652F55" w:rsidRDefault="00652F55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</w:p>
  <w:p w14:paraId="1F710237" w14:textId="77777777" w:rsidR="00652F55" w:rsidRDefault="00652F55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 xml:space="preserve">Fiche </w:t>
    </w:r>
    <w:r w:rsidR="00D87FB9">
      <w:rPr>
        <w:rFonts w:ascii="Verdana" w:hAnsi="Verdana" w:cs="Verdana"/>
        <w:sz w:val="16"/>
        <w:szCs w:val="16"/>
      </w:rPr>
      <w:t>orientation opérationnelle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C8451" w14:textId="77777777" w:rsidR="0082148C" w:rsidRDefault="0082148C" w:rsidP="00A03715">
      <w:pPr>
        <w:pStyle w:val="TableContents"/>
      </w:pPr>
      <w:r>
        <w:separator/>
      </w:r>
    </w:p>
  </w:footnote>
  <w:footnote w:type="continuationSeparator" w:id="0">
    <w:p w14:paraId="7F7D1DA5" w14:textId="77777777" w:rsidR="0082148C" w:rsidRDefault="0082148C" w:rsidP="00A03715">
      <w:pPr>
        <w:pStyle w:val="TableContents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4BA0B54"/>
    <w:multiLevelType w:val="hybridMultilevel"/>
    <w:tmpl w:val="CC9C10E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A301B"/>
    <w:multiLevelType w:val="hybridMultilevel"/>
    <w:tmpl w:val="666006FA"/>
    <w:lvl w:ilvl="0" w:tplc="F0CC6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A83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8C9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12B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90B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B28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FAF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9661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229A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245476B"/>
    <w:multiLevelType w:val="hybridMultilevel"/>
    <w:tmpl w:val="34FE42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497B8A"/>
    <w:multiLevelType w:val="hybridMultilevel"/>
    <w:tmpl w:val="466272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8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Françoise BETBEDE">
    <w15:presenceInfo w15:providerId="AD" w15:userId="1003BFFD90E36315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A5"/>
    <w:rsid w:val="00014D5F"/>
    <w:rsid w:val="00015782"/>
    <w:rsid w:val="00031B19"/>
    <w:rsid w:val="000431FC"/>
    <w:rsid w:val="00085080"/>
    <w:rsid w:val="000966A5"/>
    <w:rsid w:val="000A570C"/>
    <w:rsid w:val="000F355B"/>
    <w:rsid w:val="001327C8"/>
    <w:rsid w:val="00141401"/>
    <w:rsid w:val="00157E13"/>
    <w:rsid w:val="0016489B"/>
    <w:rsid w:val="00172682"/>
    <w:rsid w:val="001B5930"/>
    <w:rsid w:val="001C466A"/>
    <w:rsid w:val="00221F00"/>
    <w:rsid w:val="00243AF9"/>
    <w:rsid w:val="00251461"/>
    <w:rsid w:val="002650B0"/>
    <w:rsid w:val="002A5B58"/>
    <w:rsid w:val="00332D5A"/>
    <w:rsid w:val="003420AD"/>
    <w:rsid w:val="00344E28"/>
    <w:rsid w:val="003744CB"/>
    <w:rsid w:val="003966A6"/>
    <w:rsid w:val="00403AC9"/>
    <w:rsid w:val="00405EFC"/>
    <w:rsid w:val="0043135C"/>
    <w:rsid w:val="00450F2B"/>
    <w:rsid w:val="00481787"/>
    <w:rsid w:val="004D11B3"/>
    <w:rsid w:val="00502539"/>
    <w:rsid w:val="00543505"/>
    <w:rsid w:val="00564CE8"/>
    <w:rsid w:val="005F0153"/>
    <w:rsid w:val="00611755"/>
    <w:rsid w:val="00626CBC"/>
    <w:rsid w:val="00633A2F"/>
    <w:rsid w:val="00652F55"/>
    <w:rsid w:val="006A3BC2"/>
    <w:rsid w:val="006C472E"/>
    <w:rsid w:val="006E54B5"/>
    <w:rsid w:val="006F3473"/>
    <w:rsid w:val="007358F5"/>
    <w:rsid w:val="00741C82"/>
    <w:rsid w:val="0074359D"/>
    <w:rsid w:val="00795C9C"/>
    <w:rsid w:val="0079748E"/>
    <w:rsid w:val="007A7B97"/>
    <w:rsid w:val="007B7D1F"/>
    <w:rsid w:val="007D246C"/>
    <w:rsid w:val="007D7354"/>
    <w:rsid w:val="007F401A"/>
    <w:rsid w:val="00806B91"/>
    <w:rsid w:val="0082148C"/>
    <w:rsid w:val="00827890"/>
    <w:rsid w:val="0083500C"/>
    <w:rsid w:val="00841AF9"/>
    <w:rsid w:val="00860E13"/>
    <w:rsid w:val="0088450D"/>
    <w:rsid w:val="008D0202"/>
    <w:rsid w:val="008D57C0"/>
    <w:rsid w:val="008F41F9"/>
    <w:rsid w:val="00934D6C"/>
    <w:rsid w:val="009520CB"/>
    <w:rsid w:val="00973B15"/>
    <w:rsid w:val="0097477D"/>
    <w:rsid w:val="009910D0"/>
    <w:rsid w:val="009C075F"/>
    <w:rsid w:val="00A03715"/>
    <w:rsid w:val="00A230D1"/>
    <w:rsid w:val="00A34D8D"/>
    <w:rsid w:val="00A433C2"/>
    <w:rsid w:val="00A60403"/>
    <w:rsid w:val="00AD0191"/>
    <w:rsid w:val="00AF6772"/>
    <w:rsid w:val="00BE4175"/>
    <w:rsid w:val="00BE52CF"/>
    <w:rsid w:val="00BE6FC2"/>
    <w:rsid w:val="00C52CBA"/>
    <w:rsid w:val="00CC0218"/>
    <w:rsid w:val="00D80E84"/>
    <w:rsid w:val="00D86EE0"/>
    <w:rsid w:val="00D87FB9"/>
    <w:rsid w:val="00DA6B8B"/>
    <w:rsid w:val="00DC0102"/>
    <w:rsid w:val="00E135B6"/>
    <w:rsid w:val="00ED7F39"/>
    <w:rsid w:val="00EE7747"/>
    <w:rsid w:val="00F04DC2"/>
    <w:rsid w:val="00F275A3"/>
    <w:rsid w:val="00F716D6"/>
    <w:rsid w:val="00F94C4F"/>
    <w:rsid w:val="1F1F9508"/>
    <w:rsid w:val="256F095D"/>
    <w:rsid w:val="37578382"/>
    <w:rsid w:val="77C8E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CD41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795C9C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18"/>
      <w:lang w:eastAsia="fr-FR" w:bidi="ar-SA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085080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085080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795C9C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18"/>
      <w:lang w:eastAsia="fr-FR" w:bidi="ar-SA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085080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085080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34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34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4297cc2dc1dd4979" Type="http://schemas.microsoft.com/office/2011/relationships/commentsExtended" Target="commentsExtended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8e03480d972f4ec3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0FB594-F155-4D7A-BDEB-7201FCABF7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AABFC8-78AC-4B85-AFEE-451D14795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8EA49E-84C7-48A3-990E-4EFEE0D134AB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c9f4b70c-db7f-4fd0-9b1d-ebaa300a76cc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Clara MOUSSAUD</cp:lastModifiedBy>
  <cp:revision>3</cp:revision>
  <cp:lastPrinted>2015-05-27T07:28:00Z</cp:lastPrinted>
  <dcterms:created xsi:type="dcterms:W3CDTF">2015-07-10T14:32:00Z</dcterms:created>
  <dcterms:modified xsi:type="dcterms:W3CDTF">2015-07-15T09:33:00Z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